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ACAB49" w14:textId="02D85C9A" w:rsidR="00B810CB" w:rsidRPr="005A2830" w:rsidRDefault="00B810CB" w:rsidP="00B810CB">
      <w:pPr>
        <w:ind w:right="49"/>
        <w:jc w:val="both"/>
        <w:rPr>
          <w:rFonts w:ascii="Aptos" w:hAnsi="Aptos"/>
          <w:b/>
          <w:bCs/>
          <w:sz w:val="24"/>
          <w:szCs w:val="24"/>
          <w:lang w:val="es-ES_tradnl"/>
        </w:rPr>
      </w:pPr>
      <w:r w:rsidRPr="005A2830">
        <w:rPr>
          <w:rFonts w:ascii="Aptos" w:hAnsi="Aptos"/>
          <w:b/>
          <w:bCs/>
          <w:sz w:val="24"/>
          <w:szCs w:val="24"/>
          <w:lang w:val="es-ES_tradnl"/>
        </w:rPr>
        <w:t xml:space="preserve">CONCEPTO </w:t>
      </w:r>
      <w:r w:rsidR="00837896">
        <w:rPr>
          <w:rFonts w:ascii="Aptos" w:hAnsi="Aptos"/>
          <w:b/>
          <w:bCs/>
          <w:sz w:val="24"/>
          <w:szCs w:val="24"/>
          <w:lang w:val="es-ES_tradnl"/>
        </w:rPr>
        <w:t>A</w:t>
      </w:r>
      <w:r w:rsidRPr="005A2830">
        <w:rPr>
          <w:rFonts w:ascii="Aptos" w:hAnsi="Aptos"/>
          <w:b/>
          <w:bCs/>
          <w:sz w:val="24"/>
          <w:szCs w:val="24"/>
          <w:lang w:val="es-ES_tradnl"/>
        </w:rPr>
        <w:t>L PROYECT</w:t>
      </w:r>
      <w:r w:rsidR="00222C9D">
        <w:rPr>
          <w:rFonts w:ascii="Aptos" w:hAnsi="Aptos"/>
          <w:b/>
          <w:bCs/>
          <w:sz w:val="24"/>
          <w:szCs w:val="24"/>
          <w:lang w:val="es-ES_tradnl"/>
        </w:rPr>
        <w:t>O</w:t>
      </w:r>
      <w:r w:rsidRPr="005A2830">
        <w:rPr>
          <w:rFonts w:ascii="Aptos" w:hAnsi="Aptos"/>
          <w:b/>
          <w:bCs/>
          <w:sz w:val="24"/>
          <w:szCs w:val="24"/>
          <w:lang w:val="es-ES_tradnl"/>
        </w:rPr>
        <w:t xml:space="preserve"> DE LEY PROYECTO DE LEY NÚMERO 451 DE 2024 - 152 DE 2025 SENADO </w:t>
      </w:r>
      <w:r w:rsidRPr="007B1363">
        <w:rPr>
          <w:rFonts w:ascii="Aptos" w:hAnsi="Aptos"/>
          <w:b/>
          <w:bCs/>
          <w:i/>
          <w:iCs/>
          <w:sz w:val="24"/>
          <w:szCs w:val="24"/>
          <w:lang w:val="es-ES_tradnl"/>
        </w:rPr>
        <w:t>“POR MEDIO DEL CUAL SE PROMUEVE E INCENTIVA EL DESARROLLO DEL ECOSISTEMA DEL HIDRÓGENO DE BAJAS EMISIONES EN COLOMBIA CON EL FIN DE GARANTIZAR UNA CORRECTA TRANSICIÓN ENERGÉTICA Y SE DICTAN OTRAS DISPOSICIONES - ECONOMÍA DEL HIDRÓGENO”</w:t>
      </w:r>
    </w:p>
    <w:p w14:paraId="56505DEE" w14:textId="6E0A92F2" w:rsidR="00B810CB" w:rsidRPr="005A2830" w:rsidRDefault="00B810CB" w:rsidP="00B810CB">
      <w:pPr>
        <w:ind w:right="49"/>
        <w:jc w:val="both"/>
        <w:rPr>
          <w:rFonts w:ascii="Aptos" w:hAnsi="Aptos"/>
          <w:b/>
          <w:bCs/>
          <w:sz w:val="24"/>
          <w:szCs w:val="24"/>
          <w:lang w:val="es-ES_tradnl"/>
        </w:rPr>
      </w:pPr>
      <w:r w:rsidRPr="005A2830">
        <w:rPr>
          <w:rFonts w:ascii="Aptos" w:hAnsi="Aptos"/>
          <w:sz w:val="24"/>
          <w:szCs w:val="24"/>
          <w:lang w:val="es-ES_tradnl"/>
        </w:rPr>
        <w:t>El Ministerio de Minas y Energía, en ejercicio de sus competencias constitucionales y legales como entidad rectora de la política energética del país, presenta el siguiente concepto técnico respecto del articulado sometido a consideración. Este documento consolida el análisis</w:t>
      </w:r>
      <w:r w:rsidR="009709F2">
        <w:rPr>
          <w:rFonts w:ascii="Aptos" w:hAnsi="Aptos"/>
          <w:sz w:val="24"/>
          <w:szCs w:val="24"/>
          <w:lang w:val="es-ES_tradnl"/>
        </w:rPr>
        <w:t xml:space="preserve"> </w:t>
      </w:r>
      <w:r w:rsidRPr="005A2830">
        <w:rPr>
          <w:rFonts w:ascii="Aptos" w:hAnsi="Aptos"/>
          <w:sz w:val="24"/>
          <w:szCs w:val="24"/>
          <w:lang w:val="es-ES_tradnl"/>
        </w:rPr>
        <w:t>interinstitucional y sectorial, con el propósito de aportar claridad regulatoria, fortalecer la gobernanza del hidrógeno de bajas emisiones y asegurar la coherencia normativa necesaria para el desarrollo ordenado y sostenible de esta industria estratégica para la transición energética justa.</w:t>
      </w:r>
    </w:p>
    <w:p w14:paraId="3B044DF7" w14:textId="7680FC18" w:rsidR="00B810CB" w:rsidRDefault="002C4A3D" w:rsidP="002C4A3D">
      <w:pPr>
        <w:pStyle w:val="Prrafodelista"/>
        <w:numPr>
          <w:ilvl w:val="0"/>
          <w:numId w:val="3"/>
        </w:numPr>
        <w:ind w:right="49"/>
        <w:jc w:val="both"/>
        <w:rPr>
          <w:rFonts w:ascii="Aptos" w:hAnsi="Aptos"/>
          <w:b/>
          <w:bCs/>
          <w:sz w:val="24"/>
          <w:szCs w:val="24"/>
          <w:lang w:val="es-ES_tradnl"/>
        </w:rPr>
      </w:pPr>
      <w:r w:rsidRPr="005A2830">
        <w:rPr>
          <w:rFonts w:ascii="Aptos" w:hAnsi="Aptos"/>
          <w:b/>
          <w:bCs/>
          <w:sz w:val="24"/>
          <w:szCs w:val="24"/>
          <w:lang w:val="es-ES_tradnl"/>
        </w:rPr>
        <w:t>Consideraciones</w:t>
      </w:r>
      <w:r w:rsidR="005A2830">
        <w:rPr>
          <w:rFonts w:ascii="Aptos" w:hAnsi="Aptos"/>
          <w:b/>
          <w:bCs/>
          <w:sz w:val="24"/>
          <w:szCs w:val="24"/>
          <w:lang w:val="es-ES_tradnl"/>
        </w:rPr>
        <w:t xml:space="preserve"> técnicas</w:t>
      </w:r>
      <w:r w:rsidR="005A2830" w:rsidRPr="005A2830">
        <w:rPr>
          <w:rFonts w:ascii="Aptos" w:hAnsi="Aptos"/>
          <w:b/>
          <w:bCs/>
          <w:sz w:val="24"/>
          <w:szCs w:val="24"/>
          <w:lang w:val="es-ES_tradnl"/>
        </w:rPr>
        <w:t xml:space="preserve"> y sugerencias al contenido </w:t>
      </w:r>
      <w:r w:rsidR="007B1363">
        <w:rPr>
          <w:rFonts w:ascii="Aptos" w:hAnsi="Aptos"/>
          <w:b/>
          <w:bCs/>
          <w:sz w:val="24"/>
          <w:szCs w:val="24"/>
          <w:lang w:val="es-ES_tradnl"/>
        </w:rPr>
        <w:t>general del proyecto de ley</w:t>
      </w:r>
      <w:r w:rsidR="005A2830" w:rsidRPr="005A2830">
        <w:rPr>
          <w:rFonts w:ascii="Aptos" w:hAnsi="Aptos"/>
          <w:b/>
          <w:bCs/>
          <w:sz w:val="24"/>
          <w:szCs w:val="24"/>
          <w:lang w:val="es-ES_tradnl"/>
        </w:rPr>
        <w:t>:</w:t>
      </w:r>
    </w:p>
    <w:p w14:paraId="3988313A" w14:textId="77777777" w:rsidR="005A2830" w:rsidRPr="005A2830" w:rsidRDefault="005A2830" w:rsidP="005A2830">
      <w:pPr>
        <w:pStyle w:val="Prrafodelista"/>
        <w:ind w:left="1080" w:right="49"/>
        <w:jc w:val="both"/>
        <w:rPr>
          <w:rFonts w:ascii="Aptos" w:hAnsi="Aptos"/>
          <w:b/>
          <w:bCs/>
          <w:sz w:val="24"/>
          <w:szCs w:val="24"/>
          <w:lang w:val="es-ES_tradnl"/>
        </w:rPr>
      </w:pPr>
    </w:p>
    <w:p w14:paraId="341C3CE8" w14:textId="6807EECB" w:rsidR="002C4A3D" w:rsidRPr="005A2830" w:rsidRDefault="002C4A3D" w:rsidP="002C4A3D">
      <w:pPr>
        <w:pStyle w:val="Prrafodelista"/>
        <w:numPr>
          <w:ilvl w:val="0"/>
          <w:numId w:val="4"/>
        </w:numPr>
        <w:ind w:right="49"/>
        <w:jc w:val="both"/>
        <w:rPr>
          <w:rFonts w:ascii="Aptos" w:hAnsi="Aptos"/>
          <w:b/>
          <w:bCs/>
          <w:sz w:val="24"/>
          <w:szCs w:val="24"/>
          <w:lang w:val="es-ES_tradnl"/>
        </w:rPr>
      </w:pPr>
      <w:r w:rsidRPr="005A2830">
        <w:rPr>
          <w:rFonts w:ascii="Aptos" w:hAnsi="Aptos"/>
          <w:b/>
          <w:bCs/>
          <w:sz w:val="24"/>
          <w:szCs w:val="24"/>
          <w:lang w:val="es-ES_tradnl"/>
        </w:rPr>
        <w:t>Definición y alcance del hidrógeno de bajas emisiones y sus derivados (artículos 3 y 4), considerando su inclusión como FNCE</w:t>
      </w:r>
    </w:p>
    <w:p w14:paraId="12630348" w14:textId="0BD03CF4" w:rsidR="002C4A3D" w:rsidRPr="005A2830" w:rsidRDefault="002C4A3D" w:rsidP="002C4A3D">
      <w:pPr>
        <w:ind w:right="49"/>
        <w:jc w:val="both"/>
        <w:rPr>
          <w:rFonts w:ascii="Aptos" w:hAnsi="Aptos"/>
          <w:sz w:val="24"/>
          <w:szCs w:val="24"/>
          <w:lang w:val="es-ES_tradnl"/>
        </w:rPr>
      </w:pPr>
      <w:r w:rsidRPr="005A2830">
        <w:rPr>
          <w:rFonts w:ascii="Aptos" w:hAnsi="Aptos"/>
          <w:sz w:val="24"/>
          <w:szCs w:val="24"/>
          <w:lang w:val="es-ES_tradnl"/>
        </w:rPr>
        <w:t>Respecto a la ampliación de la definición de hidrógeno de bajas emisiones y su reconocimiento como Fuente No Convencional de Energía (FNCE) permite una mejor articulación con los lineamientos internacionales que han transitado de una taxonomía por colores hacia una clasificación basada en emisiones.</w:t>
      </w:r>
    </w:p>
    <w:p w14:paraId="388875FC" w14:textId="6BC6E190" w:rsidR="002C4A3D" w:rsidRPr="004E5148" w:rsidRDefault="002C4A3D" w:rsidP="002C4A3D">
      <w:pPr>
        <w:ind w:right="49"/>
        <w:jc w:val="both"/>
        <w:rPr>
          <w:rFonts w:ascii="Aptos" w:hAnsi="Aptos"/>
          <w:sz w:val="24"/>
          <w:szCs w:val="24"/>
          <w:lang w:val="es-ES_tradnl"/>
        </w:rPr>
      </w:pPr>
      <w:r w:rsidRPr="005A2830">
        <w:rPr>
          <w:rFonts w:ascii="Aptos" w:hAnsi="Aptos"/>
          <w:sz w:val="24"/>
          <w:szCs w:val="24"/>
          <w:lang w:val="es-ES_tradnl"/>
        </w:rPr>
        <w:t>Para el caso de derivados, en términos de promoción del ecosistema de hidrógeno se considera conveniente incluir los derivados del hidrógeno como FNCE, con la inclusión de los derivados como FNCE se amplía el alcance de los incentivos para los proyectos, constituyéndose en una señal favorable de impulso al desarrollo de proyectos de hidrógeno y derivados en el país.</w:t>
      </w:r>
    </w:p>
    <w:p w14:paraId="6C2F0F30" w14:textId="16778EAB" w:rsidR="002C4A3D" w:rsidRPr="005A2830" w:rsidRDefault="002C4A3D" w:rsidP="002C4A3D">
      <w:pPr>
        <w:pStyle w:val="Prrafodelista"/>
        <w:numPr>
          <w:ilvl w:val="0"/>
          <w:numId w:val="4"/>
        </w:numPr>
        <w:ind w:right="49"/>
        <w:jc w:val="both"/>
        <w:rPr>
          <w:rFonts w:ascii="Aptos" w:hAnsi="Aptos"/>
          <w:b/>
          <w:bCs/>
          <w:sz w:val="24"/>
          <w:szCs w:val="24"/>
          <w:lang w:val="es-ES_tradnl"/>
        </w:rPr>
      </w:pPr>
      <w:r w:rsidRPr="005A2830">
        <w:rPr>
          <w:rFonts w:ascii="Aptos" w:hAnsi="Aptos"/>
          <w:b/>
          <w:bCs/>
          <w:sz w:val="24"/>
          <w:szCs w:val="24"/>
          <w:lang w:val="es-ES_tradnl"/>
        </w:rPr>
        <w:t>Aspectos de reglamentación, certificación de origen y lineamientos técnicos y de trazabilidad (artículo 6) (Los posibles efectos sobre el marco regulatorio de la CREG y la interacción con la Ley 1715 de 2014 y la Ley 2099 de 2021)</w:t>
      </w:r>
    </w:p>
    <w:p w14:paraId="4C9F692D" w14:textId="03A8E627" w:rsidR="002C4A3D" w:rsidRPr="005A2830" w:rsidRDefault="002C4A3D" w:rsidP="002C4A3D">
      <w:pPr>
        <w:ind w:right="49"/>
        <w:jc w:val="both"/>
        <w:rPr>
          <w:rFonts w:ascii="Aptos" w:hAnsi="Aptos"/>
          <w:sz w:val="24"/>
          <w:szCs w:val="24"/>
          <w:lang w:val="es-ES_tradnl"/>
        </w:rPr>
      </w:pPr>
      <w:r w:rsidRPr="005A2830">
        <w:rPr>
          <w:rFonts w:ascii="Aptos" w:hAnsi="Aptos"/>
          <w:sz w:val="24"/>
          <w:szCs w:val="24"/>
          <w:lang w:val="es-ES_tradnl"/>
        </w:rPr>
        <w:t xml:space="preserve">Desde el Ministerio de Minas y Energía se considera pertinente conservar el artículo 2 del parágrafo 2. Como primer aspecto, se advierte que la eliminación del parágrafo implicaría </w:t>
      </w:r>
      <w:r w:rsidRPr="005A2830">
        <w:rPr>
          <w:rFonts w:ascii="Aptos" w:hAnsi="Aptos"/>
          <w:sz w:val="24"/>
          <w:szCs w:val="24"/>
          <w:lang w:val="es-ES_tradnl"/>
        </w:rPr>
        <w:lastRenderedPageBreak/>
        <w:t>limitar las facultades del Ministerio de Minas y Energía (MME) para ejercer inspección, vigilancia y control (IVC) sobre la cadena de valor del hidrógeno y sus derivados. En consecuencia, resulta indispensable que el MME conserve la capacidad jurídica para supervisar y garantizar el cumplimiento de las obligaciones de los agentes que participan en esta nueva industria, en coherencia con su función como ente rector de la política energética nacional y con los principios de integralidad y desarrollo sostenible que orientan la transición energética del país.</w:t>
      </w:r>
    </w:p>
    <w:p w14:paraId="09F511AD" w14:textId="01922A35" w:rsidR="002C4A3D" w:rsidRPr="005A2830" w:rsidRDefault="002C4A3D" w:rsidP="002C4A3D">
      <w:pPr>
        <w:ind w:right="49"/>
        <w:jc w:val="both"/>
        <w:rPr>
          <w:rFonts w:ascii="Aptos" w:hAnsi="Aptos"/>
          <w:sz w:val="24"/>
          <w:szCs w:val="24"/>
          <w:lang w:val="es-ES_tradnl"/>
        </w:rPr>
      </w:pPr>
      <w:r w:rsidRPr="005A2830">
        <w:rPr>
          <w:rFonts w:ascii="Aptos" w:hAnsi="Aptos"/>
          <w:sz w:val="24"/>
          <w:szCs w:val="24"/>
          <w:lang w:val="es-ES_tradnl"/>
        </w:rPr>
        <w:t>Por lo anterior, se considera pertinente conservar el parágrafo 2 del artículo 6, en atención a la necesidad de asegurar una gestión integral del hidrógeno de bajas emisiones, que abarque todas las etapas de su encadenamiento productivo, incluyendo la producción, almacenamiento, transporte, comercialización, distribución y exportación, sin restringirse exclusivamente a los sectores actualmente regulados, como los de energía eléctrica o gas natural.</w:t>
      </w:r>
    </w:p>
    <w:p w14:paraId="1F96F4D2" w14:textId="47C853EA" w:rsidR="002C4A3D" w:rsidRPr="004E5148" w:rsidRDefault="002C4A3D" w:rsidP="002C4A3D">
      <w:pPr>
        <w:ind w:right="49"/>
        <w:jc w:val="both"/>
        <w:rPr>
          <w:rFonts w:ascii="Aptos" w:hAnsi="Aptos"/>
          <w:sz w:val="24"/>
          <w:szCs w:val="24"/>
          <w:lang w:val="es-ES_tradnl"/>
        </w:rPr>
      </w:pPr>
      <w:r w:rsidRPr="005A2830">
        <w:rPr>
          <w:rFonts w:ascii="Aptos" w:hAnsi="Aptos"/>
          <w:sz w:val="24"/>
          <w:szCs w:val="24"/>
          <w:lang w:val="es-ES_tradnl"/>
        </w:rPr>
        <w:t>Como segundo aspecto, se considera necesario habilitar al Ministerio de Minas y Energía (MME) para que establezca un régimen administrativo sancionatorio aplicable a los proyectos de hidrógeno que no se integren a sectores regulados bajo la competencia de la Comisión de Regulación de Energía y Gas (CREG) o de la Superintendencia de Servicios Públicos Domiciliarios (SSPD).</w:t>
      </w:r>
    </w:p>
    <w:p w14:paraId="57971D77" w14:textId="5F69E408" w:rsidR="002C4A3D" w:rsidRPr="005A2830" w:rsidRDefault="002C4A3D" w:rsidP="002C4A3D">
      <w:pPr>
        <w:ind w:right="49"/>
        <w:jc w:val="both"/>
        <w:rPr>
          <w:rFonts w:ascii="Aptos" w:hAnsi="Aptos"/>
          <w:sz w:val="24"/>
          <w:szCs w:val="24"/>
          <w:lang w:val="es-ES_tradnl"/>
        </w:rPr>
      </w:pPr>
      <w:r w:rsidRPr="005A2830">
        <w:rPr>
          <w:rFonts w:ascii="Aptos" w:hAnsi="Aptos"/>
          <w:sz w:val="24"/>
          <w:szCs w:val="24"/>
          <w:lang w:val="es-ES_tradnl"/>
        </w:rPr>
        <w:t>En consecuencia, si bien se advierte que los agentes del hidrógeno que se integren a sectores regulados por la Comisión de Regulación de Energía y Gas (CREG) y la Superintendencia de Servicios Públicos Domiciliarios (SSPD) estarán sujetos a las normas y regímenes sancionatorios de dichas entidades, la eliminación del parágrafo 2 del artículo 6 dejaría sin cobertura normativa a un número de proyectos y actividades del ecosistema del hidrógeno que no se enmarcan dentro de los sectores actualmente regulados, generando un vacío institucional en materia de inspección, vigilancia y control (IVC).</w:t>
      </w:r>
    </w:p>
    <w:p w14:paraId="7CBC5684" w14:textId="7C5DEA42" w:rsidR="002C4A3D" w:rsidRPr="005A2830" w:rsidRDefault="002C4A3D" w:rsidP="002C4A3D">
      <w:pPr>
        <w:ind w:right="49"/>
        <w:jc w:val="both"/>
        <w:rPr>
          <w:rFonts w:ascii="Aptos" w:hAnsi="Aptos"/>
          <w:sz w:val="24"/>
          <w:szCs w:val="24"/>
          <w:lang w:val="es-ES_tradnl"/>
        </w:rPr>
      </w:pPr>
      <w:r w:rsidRPr="005A2830">
        <w:rPr>
          <w:rFonts w:ascii="Aptos" w:hAnsi="Aptos"/>
          <w:sz w:val="24"/>
          <w:szCs w:val="24"/>
          <w:lang w:val="es-ES_tradnl"/>
        </w:rPr>
        <w:t xml:space="preserve">En lo relacionado con mecanismo público de certificación de origen, desde el Ministerio de Minas y Energía se considera pertinente las disposiciones establecidas en parágrafo 3 del artículo 6, teniendo en cuenta antecedentes contemplados en decreto 1073 de 2015, en particular, en capítulo 3 del Título VII de la Parte 2 del Libro 2. Desde el Ministerio, a través de consultorías y diálogo con agentes de la cadena de valor se han recopilado un conjunto de motivos técnicos y jurídicos de soportan la adopción de disposiciones asociadas a mecanismo público de esquema de certificación de origen que será empleado para la </w:t>
      </w:r>
      <w:r w:rsidRPr="005A2830">
        <w:rPr>
          <w:rFonts w:ascii="Aptos" w:hAnsi="Aptos"/>
          <w:sz w:val="24"/>
          <w:szCs w:val="24"/>
          <w:lang w:val="es-ES_tradnl"/>
        </w:rPr>
        <w:lastRenderedPageBreak/>
        <w:t>acreditación de los atributos del hidrógeno de bajas emisiones que se produzca en Colombia; este mecanismo podría generar beneficios para toda la cadena de valor del hidrógeno, incluyendo productores, actores de la cadena de suministro y consumidores finales, además de contribuir a la descarbonización de la economía del hidrógeno.</w:t>
      </w:r>
    </w:p>
    <w:p w14:paraId="57BCFF71" w14:textId="39F0EC19" w:rsidR="002C4A3D" w:rsidRPr="005A2830" w:rsidRDefault="002C4A3D" w:rsidP="002C4A3D">
      <w:pPr>
        <w:ind w:right="49"/>
        <w:jc w:val="both"/>
        <w:rPr>
          <w:rFonts w:ascii="Aptos" w:hAnsi="Aptos"/>
          <w:sz w:val="24"/>
          <w:szCs w:val="24"/>
          <w:lang w:val="es-ES_tradnl"/>
        </w:rPr>
      </w:pPr>
      <w:r w:rsidRPr="005A2830">
        <w:rPr>
          <w:rFonts w:ascii="Aptos" w:hAnsi="Aptos"/>
          <w:sz w:val="24"/>
          <w:szCs w:val="24"/>
          <w:lang w:val="es-ES_tradnl"/>
        </w:rPr>
        <w:t>Finalmente, sobre el marco regulatorio de la CREG, se consideran pertinentes las orientaciones dadas en parágrafo 1 del artículo 6, teniendo en cuenta que en los casos en que el hidrógeno se integre a sectores regulados, como energía eléctrica o gas, se requiere que los agentes tengan claridades en la forma en la que su incorporación se encuentra sujeta a las reglas de la CREG.</w:t>
      </w:r>
    </w:p>
    <w:p w14:paraId="0F4EE4DF" w14:textId="6DD0E14A" w:rsidR="002C4A3D" w:rsidRPr="005A2830" w:rsidRDefault="002C4A3D" w:rsidP="002C4A3D">
      <w:pPr>
        <w:pStyle w:val="Prrafodelista"/>
        <w:numPr>
          <w:ilvl w:val="0"/>
          <w:numId w:val="4"/>
        </w:numPr>
        <w:ind w:right="49"/>
        <w:jc w:val="both"/>
        <w:rPr>
          <w:rFonts w:ascii="Aptos" w:hAnsi="Aptos"/>
          <w:b/>
          <w:bCs/>
          <w:sz w:val="24"/>
          <w:szCs w:val="24"/>
          <w:lang w:val="es-ES_tradnl"/>
        </w:rPr>
      </w:pPr>
      <w:r w:rsidRPr="005A2830">
        <w:rPr>
          <w:rFonts w:ascii="Aptos" w:hAnsi="Aptos"/>
          <w:b/>
          <w:bCs/>
          <w:sz w:val="24"/>
          <w:szCs w:val="24"/>
          <w:lang w:val="es-ES_tradnl"/>
        </w:rPr>
        <w:t>Posibles efectos sobre el marco regulatorio de la CREG y la interacción con la Ley 1715 de 2014 y la Ley 2099 de 2021</w:t>
      </w:r>
    </w:p>
    <w:p w14:paraId="60AEF9C1" w14:textId="77777777" w:rsidR="002C4A3D" w:rsidRPr="005A2830" w:rsidRDefault="002C4A3D" w:rsidP="002C4A3D">
      <w:pPr>
        <w:ind w:right="49"/>
        <w:jc w:val="both"/>
        <w:rPr>
          <w:rFonts w:ascii="Aptos" w:hAnsi="Aptos"/>
          <w:sz w:val="24"/>
          <w:szCs w:val="24"/>
          <w:lang w:val="es-ES_tradnl"/>
        </w:rPr>
      </w:pPr>
      <w:r w:rsidRPr="005A2830">
        <w:rPr>
          <w:rFonts w:ascii="Aptos" w:hAnsi="Aptos"/>
          <w:sz w:val="24"/>
          <w:szCs w:val="24"/>
          <w:lang w:val="es-ES_tradnl"/>
        </w:rPr>
        <w:t>Sobre el marco regulatorio de la CREG, se consideran pertinentes las orientaciones dadas en parágrafo 1 del artículo 6, teniendo en cuenta que en los casos en que el hidrógeno se integre a sectores regulados, como energía eléctrica o gas, se requiere que los agentes tengan claridades en la forma en la que su incorporación se encuentra sujeta a las reglas de la CREG.</w:t>
      </w:r>
    </w:p>
    <w:p w14:paraId="0D28596B" w14:textId="015FC1F5" w:rsidR="002C4A3D" w:rsidRPr="005A2830" w:rsidRDefault="002C4A3D" w:rsidP="002C4A3D">
      <w:pPr>
        <w:ind w:right="49"/>
        <w:jc w:val="both"/>
        <w:rPr>
          <w:rFonts w:ascii="Aptos" w:hAnsi="Aptos"/>
          <w:sz w:val="24"/>
          <w:szCs w:val="24"/>
          <w:lang w:val="es-ES_tradnl"/>
        </w:rPr>
      </w:pPr>
      <w:r w:rsidRPr="005A2830">
        <w:rPr>
          <w:rFonts w:ascii="Aptos" w:hAnsi="Aptos"/>
          <w:sz w:val="24"/>
          <w:szCs w:val="24"/>
          <w:lang w:val="es-ES_tradnl"/>
        </w:rPr>
        <w:t>El reconocimiento del hidrógeno de bajas emisiones como FNCE implica la necesidad de ajustar ciertos instrumentos regulatorios de la CREG, especialmente en lo relativo a integración con el sistema energético nacional, incentivos y esquemas tarifarios.</w:t>
      </w:r>
    </w:p>
    <w:p w14:paraId="3BCA2C8B" w14:textId="51A08109" w:rsidR="002C4A3D" w:rsidRPr="005A2830" w:rsidRDefault="002C4A3D" w:rsidP="002C4A3D">
      <w:pPr>
        <w:ind w:right="49"/>
        <w:jc w:val="both"/>
        <w:rPr>
          <w:rFonts w:ascii="Aptos" w:hAnsi="Aptos"/>
          <w:sz w:val="24"/>
          <w:szCs w:val="24"/>
          <w:lang w:val="es-ES_tradnl"/>
        </w:rPr>
      </w:pPr>
      <w:r w:rsidRPr="005A2830">
        <w:rPr>
          <w:rFonts w:ascii="Aptos" w:hAnsi="Aptos"/>
          <w:sz w:val="24"/>
          <w:szCs w:val="24"/>
          <w:lang w:val="es-ES_tradnl"/>
        </w:rPr>
        <w:t>Sin embargo, este ajuste no genera conflicto con el marco normativo existente, sino que profundiza y complementa los objetivos de las Leyes 1715 de 2014 y 2099 de 2021, fortaleciendo la promoción de nuevas fuentes y tecnologías de bajas emisiones.</w:t>
      </w:r>
    </w:p>
    <w:p w14:paraId="7BBC156E" w14:textId="1583167B" w:rsidR="002C4A3D" w:rsidRPr="005A2830" w:rsidRDefault="002C4A3D" w:rsidP="002C4A3D">
      <w:pPr>
        <w:ind w:right="49"/>
        <w:jc w:val="both"/>
        <w:rPr>
          <w:rFonts w:ascii="Aptos" w:hAnsi="Aptos"/>
          <w:sz w:val="24"/>
          <w:szCs w:val="24"/>
          <w:lang w:val="es-ES_tradnl"/>
        </w:rPr>
      </w:pPr>
      <w:r w:rsidRPr="005A2830">
        <w:rPr>
          <w:rFonts w:ascii="Aptos" w:hAnsi="Aptos"/>
          <w:sz w:val="24"/>
          <w:szCs w:val="24"/>
          <w:lang w:val="es-ES_tradnl"/>
        </w:rPr>
        <w:t>En ese sentido la CREG puso en consulta pública documentos normativos que contemplan análisis de proyectos que integren hidrógeno en la red eléctrica o en esquemas híbridos.</w:t>
      </w:r>
    </w:p>
    <w:p w14:paraId="0452CF81" w14:textId="02EE72E8" w:rsidR="002C4A3D" w:rsidRPr="005A2830" w:rsidRDefault="002C4A3D" w:rsidP="002C4A3D">
      <w:pPr>
        <w:pStyle w:val="Prrafodelista"/>
        <w:numPr>
          <w:ilvl w:val="0"/>
          <w:numId w:val="4"/>
        </w:numPr>
        <w:ind w:right="49"/>
        <w:jc w:val="both"/>
        <w:rPr>
          <w:rFonts w:ascii="Aptos" w:hAnsi="Aptos"/>
          <w:b/>
          <w:bCs/>
          <w:sz w:val="24"/>
          <w:szCs w:val="24"/>
          <w:lang w:val="es-ES_tradnl"/>
        </w:rPr>
      </w:pPr>
      <w:r w:rsidRPr="005A2830">
        <w:rPr>
          <w:rFonts w:ascii="Aptos" w:hAnsi="Aptos"/>
          <w:b/>
          <w:bCs/>
          <w:sz w:val="24"/>
          <w:szCs w:val="24"/>
          <w:lang w:val="es-ES_tradnl"/>
        </w:rPr>
        <w:t>La creación de la Comisión Técnica Intersectorial para la Gobernanza del Hidrógeno (artículo 8) y su posible articulación con las instancias ya existentes del sector energético.</w:t>
      </w:r>
    </w:p>
    <w:p w14:paraId="32876A77" w14:textId="10BAD087" w:rsidR="002C4A3D" w:rsidRPr="005A2830" w:rsidRDefault="002C4A3D" w:rsidP="002C4A3D">
      <w:pPr>
        <w:ind w:right="49"/>
        <w:jc w:val="both"/>
        <w:rPr>
          <w:rFonts w:ascii="Aptos" w:hAnsi="Aptos"/>
          <w:sz w:val="24"/>
          <w:szCs w:val="24"/>
          <w:lang w:val="es-ES_tradnl"/>
        </w:rPr>
      </w:pPr>
      <w:r w:rsidRPr="005A2830">
        <w:rPr>
          <w:rFonts w:ascii="Aptos" w:hAnsi="Aptos"/>
          <w:sz w:val="24"/>
          <w:szCs w:val="24"/>
          <w:lang w:val="es-ES_tradnl"/>
        </w:rPr>
        <w:lastRenderedPageBreak/>
        <w:t>La creación de la Comisión Técnica Intersectorial se considera pertinente y oportuna, en la medida en que puede fortalecer la gobernanza, la coordinación institucional y la coherencia de políticas públicas en torno al desarrollo del hidrógeno y sus aplicaciones.</w:t>
      </w:r>
    </w:p>
    <w:p w14:paraId="3C3F6E2E" w14:textId="69DE7EE5" w:rsidR="002C4A3D" w:rsidRPr="005A2830" w:rsidRDefault="002C4A3D" w:rsidP="002C4A3D">
      <w:pPr>
        <w:ind w:right="49"/>
        <w:jc w:val="both"/>
        <w:rPr>
          <w:rFonts w:ascii="Aptos" w:hAnsi="Aptos"/>
          <w:sz w:val="24"/>
          <w:szCs w:val="24"/>
          <w:lang w:val="es-ES_tradnl"/>
        </w:rPr>
      </w:pPr>
      <w:r w:rsidRPr="005A2830">
        <w:rPr>
          <w:rFonts w:ascii="Aptos" w:hAnsi="Aptos"/>
          <w:sz w:val="24"/>
          <w:szCs w:val="24"/>
          <w:lang w:val="es-ES_tradnl"/>
        </w:rPr>
        <w:t>No obstante, se recomienda que dicha comisión se articule con las instancias ya existentes del sector energético, tales como el Comité Técnico de Energías Renovables, los Comités de Transición Energética Justa y el Consejo de Política Energética (CPE), para evitar duplicidades y garantizar un flujo de información efectivo.</w:t>
      </w:r>
    </w:p>
    <w:p w14:paraId="13D01389" w14:textId="17B6FC59" w:rsidR="002C4A3D" w:rsidRPr="005A2830" w:rsidRDefault="002C4A3D" w:rsidP="002C4A3D">
      <w:pPr>
        <w:ind w:right="49"/>
        <w:jc w:val="both"/>
        <w:rPr>
          <w:rFonts w:ascii="Aptos" w:hAnsi="Aptos"/>
          <w:sz w:val="24"/>
          <w:szCs w:val="24"/>
          <w:lang w:val="es-ES_tradnl"/>
        </w:rPr>
      </w:pPr>
      <w:r w:rsidRPr="005A2830">
        <w:rPr>
          <w:rFonts w:ascii="Aptos" w:hAnsi="Aptos"/>
          <w:sz w:val="24"/>
          <w:szCs w:val="24"/>
          <w:lang w:val="es-ES_tradnl"/>
        </w:rPr>
        <w:t>Asimismo, la Comisión debería contemplar un componente técnico-científico permanente, integrado por representantes de universidades, centros de investigación y actores industriales, que contribuyan a la toma de decisiones basadas en evidencia.</w:t>
      </w:r>
    </w:p>
    <w:p w14:paraId="658856F2" w14:textId="77777777" w:rsidR="002C4A3D" w:rsidRPr="005A2830" w:rsidRDefault="002C4A3D" w:rsidP="002C4A3D">
      <w:pPr>
        <w:ind w:right="49"/>
        <w:jc w:val="both"/>
        <w:rPr>
          <w:rFonts w:ascii="Aptos" w:hAnsi="Aptos"/>
          <w:sz w:val="24"/>
          <w:szCs w:val="24"/>
          <w:lang w:val="es-ES_tradnl"/>
        </w:rPr>
      </w:pPr>
      <w:r w:rsidRPr="005A2830">
        <w:rPr>
          <w:rFonts w:ascii="Aptos" w:hAnsi="Aptos"/>
          <w:sz w:val="24"/>
          <w:szCs w:val="24"/>
          <w:lang w:val="es-ES_tradnl"/>
        </w:rPr>
        <w:t>Siendo una de las potenciales funciones de la comisión la de Promover la investigación y desarrollo tecnológico en materia de Hidrógeno y/o sus derivados; y que, de acuerdo con el Decreto 2226 de 2019, el Ministerio de Ciencia, Tecnología e Innovación promoverá la investigación aplicada, el desarrollo tecnológico y la innovación, se sugiere modificar el artículo en procura de asegurar su participación en torno a ciencia, tecnología e innovación en torno a la cadena de valor del hidrógeno.</w:t>
      </w:r>
    </w:p>
    <w:p w14:paraId="5B47623D" w14:textId="5C90A808" w:rsidR="00D70DE9" w:rsidRDefault="002C4A3D" w:rsidP="002C4A3D">
      <w:pPr>
        <w:ind w:right="49"/>
        <w:jc w:val="both"/>
        <w:rPr>
          <w:rFonts w:ascii="Aptos" w:hAnsi="Aptos"/>
          <w:sz w:val="24"/>
          <w:szCs w:val="24"/>
          <w:lang w:val="es-ES_tradnl"/>
        </w:rPr>
      </w:pPr>
      <w:r w:rsidRPr="005A2830">
        <w:rPr>
          <w:rFonts w:ascii="Aptos" w:hAnsi="Aptos"/>
          <w:sz w:val="24"/>
          <w:szCs w:val="24"/>
          <w:lang w:val="es-ES_tradnl"/>
        </w:rPr>
        <w:t>Adicionalmente, teniendo en cuenta el involucramiento de múltiples carteras y los tiempos internos para las validaciones internas se sugiere modificar el tiempo de implementación de disposición a ocho (8) meses, tiempo necesario para dichas gestiones institucionales.</w:t>
      </w:r>
    </w:p>
    <w:p w14:paraId="652C920F" w14:textId="0314C75E" w:rsidR="007B1363" w:rsidRPr="007B1363" w:rsidRDefault="007B1363" w:rsidP="007B1363">
      <w:pPr>
        <w:pStyle w:val="Prrafodelista"/>
        <w:numPr>
          <w:ilvl w:val="0"/>
          <w:numId w:val="3"/>
        </w:numPr>
        <w:ind w:right="49"/>
        <w:jc w:val="both"/>
        <w:rPr>
          <w:rFonts w:ascii="Aptos" w:hAnsi="Aptos"/>
          <w:b/>
          <w:bCs/>
          <w:sz w:val="24"/>
          <w:szCs w:val="24"/>
          <w:lang w:val="es-ES_tradnl"/>
        </w:rPr>
      </w:pPr>
      <w:r w:rsidRPr="007B1363">
        <w:rPr>
          <w:rFonts w:ascii="Aptos" w:hAnsi="Aptos"/>
          <w:b/>
          <w:bCs/>
          <w:sz w:val="24"/>
          <w:szCs w:val="24"/>
          <w:lang w:val="es-ES_tradnl"/>
        </w:rPr>
        <w:t>Sobre el contenido puntual del articulado propuesto:</w:t>
      </w:r>
    </w:p>
    <w:p w14:paraId="6B48028F" w14:textId="57DAA387" w:rsidR="004E5148" w:rsidRPr="005A2830" w:rsidRDefault="004E5148" w:rsidP="004E5148">
      <w:pPr>
        <w:ind w:right="49"/>
        <w:jc w:val="both"/>
        <w:rPr>
          <w:rFonts w:ascii="Aptos" w:hAnsi="Aptos"/>
          <w:b/>
          <w:bCs/>
          <w:sz w:val="24"/>
          <w:szCs w:val="24"/>
          <w:lang w:val="es-ES_tradnl"/>
        </w:rPr>
      </w:pPr>
      <w:r>
        <w:rPr>
          <w:rFonts w:ascii="Aptos" w:hAnsi="Aptos"/>
          <w:b/>
          <w:bCs/>
          <w:sz w:val="24"/>
          <w:szCs w:val="24"/>
          <w:lang w:val="es-ES_tradnl"/>
        </w:rPr>
        <w:t xml:space="preserve">Artículo 2. </w:t>
      </w:r>
    </w:p>
    <w:p w14:paraId="2B5D731C" w14:textId="24F7388E" w:rsidR="002C4A3D" w:rsidRPr="004E5148" w:rsidRDefault="004E5148" w:rsidP="002C4A3D">
      <w:pPr>
        <w:ind w:right="49"/>
        <w:jc w:val="both"/>
        <w:rPr>
          <w:rFonts w:ascii="Aptos" w:hAnsi="Aptos"/>
          <w:sz w:val="24"/>
          <w:szCs w:val="24"/>
          <w:lang w:val="es-ES_tradnl"/>
        </w:rPr>
      </w:pPr>
      <w:r>
        <w:rPr>
          <w:rFonts w:ascii="Aptos" w:hAnsi="Aptos"/>
          <w:sz w:val="24"/>
          <w:szCs w:val="24"/>
          <w:lang w:val="es-ES_tradnl"/>
        </w:rPr>
        <w:t xml:space="preserve">En lo relacionado con esta disposición, en la sección de modificaciones se propone un </w:t>
      </w:r>
      <w:r w:rsidR="00441FEE">
        <w:rPr>
          <w:rFonts w:ascii="Aptos" w:hAnsi="Aptos"/>
          <w:sz w:val="24"/>
          <w:szCs w:val="24"/>
          <w:lang w:val="es-ES_tradnl"/>
        </w:rPr>
        <w:t>a</w:t>
      </w:r>
      <w:r>
        <w:rPr>
          <w:rFonts w:ascii="Aptos" w:hAnsi="Aptos"/>
          <w:sz w:val="24"/>
          <w:szCs w:val="24"/>
          <w:lang w:val="es-ES_tradnl"/>
        </w:rPr>
        <w:t>juste al contenido normativo considerándolo</w:t>
      </w:r>
      <w:r w:rsidRPr="005A2830">
        <w:rPr>
          <w:rFonts w:ascii="Aptos" w:hAnsi="Aptos"/>
          <w:sz w:val="24"/>
          <w:szCs w:val="24"/>
          <w:lang w:val="es-ES_tradnl"/>
        </w:rPr>
        <w:t xml:space="preserve"> pertinente y adecuado en lo relacionado con la definición de fertilizantes de síntesis química. En el contexto nacional, esta definición genera mayor flexibilidad para impulsar las iniciativas contempladas en el artículo 18, especialmente aquellas relacionadas con fertilizantes sostenibles a partir de hidrógeno de bajas emisiones, y contribuye a una inserción coherente del hidrógeno en la industria agrícola, dado que el concepto empleado se alinea con las definiciones utilizadas por otras entidades del sector agropecuario.</w:t>
      </w:r>
    </w:p>
    <w:p w14:paraId="718C615E" w14:textId="7FDEE22C" w:rsidR="002C4A3D" w:rsidRPr="005A2830" w:rsidRDefault="002C4A3D" w:rsidP="002C4A3D">
      <w:pPr>
        <w:ind w:right="49"/>
        <w:jc w:val="both"/>
        <w:rPr>
          <w:rFonts w:ascii="Aptos" w:hAnsi="Aptos"/>
          <w:b/>
          <w:bCs/>
          <w:sz w:val="24"/>
          <w:szCs w:val="24"/>
          <w:lang w:val="es-ES_tradnl"/>
        </w:rPr>
      </w:pPr>
      <w:r w:rsidRPr="005A2830">
        <w:rPr>
          <w:rFonts w:ascii="Aptos" w:hAnsi="Aptos"/>
          <w:b/>
          <w:bCs/>
          <w:sz w:val="24"/>
          <w:szCs w:val="24"/>
          <w:lang w:val="es-ES_tradnl"/>
        </w:rPr>
        <w:lastRenderedPageBreak/>
        <w:t xml:space="preserve">ARTÍCULO 8°. Comisión técnica intersectorial para la Gobernanza del Hidrógeno. </w:t>
      </w:r>
    </w:p>
    <w:p w14:paraId="4C280FF9" w14:textId="560AA5ED" w:rsidR="002C4A3D" w:rsidRPr="005A2830" w:rsidRDefault="002C4A3D" w:rsidP="002C4A3D">
      <w:pPr>
        <w:ind w:right="49"/>
        <w:jc w:val="both"/>
        <w:rPr>
          <w:rFonts w:ascii="Aptos" w:hAnsi="Aptos"/>
          <w:sz w:val="24"/>
          <w:szCs w:val="24"/>
          <w:lang w:val="es-ES_tradnl"/>
        </w:rPr>
      </w:pPr>
      <w:r w:rsidRPr="005A2830">
        <w:rPr>
          <w:rFonts w:ascii="Aptos" w:hAnsi="Aptos"/>
          <w:sz w:val="24"/>
          <w:szCs w:val="24"/>
          <w:lang w:val="es-ES_tradnl"/>
        </w:rPr>
        <w:t>Dentro de los ocho (8) meses siguientes a la expedición de la presente ley, créese la Comisión Intersectorial para la Gobernanza del Hidrógeno, en adelante la Comisión la cual tiene por objeto la coordinación, articulación, impulso y seguimiento de los avances del país y de los diferentes sectores de gobierno, a fin de propender por el desarrollo del mercado del Hidrógeno y/o sus derivados a nivel nacional e internacional, impulsar la transición  energética  justa,  la descarbonización y la reindustrialización.</w:t>
      </w:r>
    </w:p>
    <w:p w14:paraId="7E75F9E1" w14:textId="52EC6959" w:rsidR="002C4A3D" w:rsidRPr="005A2830" w:rsidRDefault="002C4A3D" w:rsidP="002C4A3D">
      <w:pPr>
        <w:ind w:right="49"/>
        <w:jc w:val="both"/>
        <w:rPr>
          <w:rFonts w:ascii="Aptos" w:hAnsi="Aptos"/>
          <w:sz w:val="24"/>
          <w:szCs w:val="24"/>
          <w:lang w:val="es-ES_tradnl"/>
        </w:rPr>
      </w:pPr>
      <w:r w:rsidRPr="005A2830">
        <w:rPr>
          <w:rFonts w:ascii="Aptos" w:hAnsi="Aptos"/>
          <w:sz w:val="24"/>
          <w:szCs w:val="24"/>
          <w:lang w:val="es-ES_tradnl"/>
        </w:rPr>
        <w:t>La comisión técnica y de desarrollo sectorial estará integrada por los siguientes miembros:</w:t>
      </w:r>
    </w:p>
    <w:p w14:paraId="0F0039D5" w14:textId="77777777" w:rsidR="002C4A3D" w:rsidRPr="005A2830" w:rsidRDefault="002C4A3D" w:rsidP="002C4A3D">
      <w:pPr>
        <w:ind w:right="49"/>
        <w:jc w:val="both"/>
        <w:rPr>
          <w:rFonts w:ascii="Aptos" w:hAnsi="Aptos"/>
          <w:sz w:val="24"/>
          <w:szCs w:val="24"/>
          <w:lang w:val="es-ES_tradnl"/>
        </w:rPr>
      </w:pPr>
      <w:r w:rsidRPr="005A2830">
        <w:rPr>
          <w:rFonts w:ascii="Aptos" w:hAnsi="Aptos"/>
          <w:sz w:val="24"/>
          <w:szCs w:val="24"/>
          <w:lang w:val="es-ES_tradnl"/>
        </w:rPr>
        <w:t>a)</w:t>
      </w:r>
      <w:r w:rsidRPr="005A2830">
        <w:rPr>
          <w:rFonts w:ascii="Aptos" w:hAnsi="Aptos"/>
          <w:sz w:val="24"/>
          <w:szCs w:val="24"/>
          <w:lang w:val="es-ES_tradnl"/>
        </w:rPr>
        <w:tab/>
      </w:r>
      <w:r w:rsidRPr="00441FEE">
        <w:rPr>
          <w:rFonts w:ascii="Aptos" w:hAnsi="Aptos"/>
          <w:sz w:val="24"/>
          <w:szCs w:val="24"/>
          <w:u w:val="single"/>
          <w:lang w:val="es-ES_tradnl"/>
        </w:rPr>
        <w:t xml:space="preserve">El (la) </w:t>
      </w:r>
      <w:proofErr w:type="gramStart"/>
      <w:r w:rsidRPr="00441FEE">
        <w:rPr>
          <w:rFonts w:ascii="Aptos" w:hAnsi="Aptos"/>
          <w:sz w:val="24"/>
          <w:szCs w:val="24"/>
          <w:u w:val="single"/>
          <w:lang w:val="es-ES_tradnl"/>
        </w:rPr>
        <w:t>Ministro</w:t>
      </w:r>
      <w:proofErr w:type="gramEnd"/>
      <w:r w:rsidRPr="00441FEE">
        <w:rPr>
          <w:rFonts w:ascii="Aptos" w:hAnsi="Aptos"/>
          <w:sz w:val="24"/>
          <w:szCs w:val="24"/>
          <w:u w:val="single"/>
          <w:lang w:val="es-ES_tradnl"/>
        </w:rPr>
        <w:t>(a) de Minas y Energía, quien la presidirá.</w:t>
      </w:r>
    </w:p>
    <w:p w14:paraId="16B7550E" w14:textId="77777777" w:rsidR="002C4A3D" w:rsidRPr="005A2830" w:rsidRDefault="002C4A3D" w:rsidP="002C4A3D">
      <w:pPr>
        <w:ind w:right="49"/>
        <w:jc w:val="both"/>
        <w:rPr>
          <w:rFonts w:ascii="Aptos" w:hAnsi="Aptos"/>
          <w:sz w:val="24"/>
          <w:szCs w:val="24"/>
          <w:lang w:val="es-ES_tradnl"/>
        </w:rPr>
      </w:pPr>
      <w:r w:rsidRPr="005A2830">
        <w:rPr>
          <w:rFonts w:ascii="Aptos" w:hAnsi="Aptos"/>
          <w:sz w:val="24"/>
          <w:szCs w:val="24"/>
          <w:lang w:val="es-ES_tradnl"/>
        </w:rPr>
        <w:t>b)</w:t>
      </w:r>
      <w:r w:rsidRPr="005A2830">
        <w:rPr>
          <w:rFonts w:ascii="Aptos" w:hAnsi="Aptos"/>
          <w:sz w:val="24"/>
          <w:szCs w:val="24"/>
          <w:lang w:val="es-ES_tradnl"/>
        </w:rPr>
        <w:tab/>
        <w:t xml:space="preserve">El (la) </w:t>
      </w:r>
      <w:proofErr w:type="gramStart"/>
      <w:r w:rsidRPr="005A2830">
        <w:rPr>
          <w:rFonts w:ascii="Aptos" w:hAnsi="Aptos"/>
          <w:sz w:val="24"/>
          <w:szCs w:val="24"/>
          <w:lang w:val="es-ES_tradnl"/>
        </w:rPr>
        <w:t>Ministro</w:t>
      </w:r>
      <w:proofErr w:type="gramEnd"/>
      <w:r w:rsidRPr="005A2830">
        <w:rPr>
          <w:rFonts w:ascii="Aptos" w:hAnsi="Aptos"/>
          <w:sz w:val="24"/>
          <w:szCs w:val="24"/>
          <w:lang w:val="es-ES_tradnl"/>
        </w:rPr>
        <w:t>(a) de Ambiente y Desarrollo Sostenible.</w:t>
      </w:r>
    </w:p>
    <w:p w14:paraId="1246C82A" w14:textId="77777777" w:rsidR="002C4A3D" w:rsidRPr="005A2830" w:rsidRDefault="002C4A3D" w:rsidP="002C4A3D">
      <w:pPr>
        <w:ind w:right="49"/>
        <w:jc w:val="both"/>
        <w:rPr>
          <w:rFonts w:ascii="Aptos" w:hAnsi="Aptos"/>
          <w:sz w:val="24"/>
          <w:szCs w:val="24"/>
          <w:lang w:val="es-ES_tradnl"/>
        </w:rPr>
      </w:pPr>
      <w:r w:rsidRPr="005A2830">
        <w:rPr>
          <w:rFonts w:ascii="Aptos" w:hAnsi="Aptos"/>
          <w:sz w:val="24"/>
          <w:szCs w:val="24"/>
          <w:lang w:val="es-ES_tradnl"/>
        </w:rPr>
        <w:t>c)</w:t>
      </w:r>
      <w:r w:rsidRPr="005A2830">
        <w:rPr>
          <w:rFonts w:ascii="Aptos" w:hAnsi="Aptos"/>
          <w:sz w:val="24"/>
          <w:szCs w:val="24"/>
          <w:lang w:val="es-ES_tradnl"/>
        </w:rPr>
        <w:tab/>
        <w:t xml:space="preserve">El (la) </w:t>
      </w:r>
      <w:proofErr w:type="gramStart"/>
      <w:r w:rsidRPr="005A2830">
        <w:rPr>
          <w:rFonts w:ascii="Aptos" w:hAnsi="Aptos"/>
          <w:sz w:val="24"/>
          <w:szCs w:val="24"/>
          <w:lang w:val="es-ES_tradnl"/>
        </w:rPr>
        <w:t>Ministro</w:t>
      </w:r>
      <w:proofErr w:type="gramEnd"/>
      <w:r w:rsidRPr="005A2830">
        <w:rPr>
          <w:rFonts w:ascii="Aptos" w:hAnsi="Aptos"/>
          <w:sz w:val="24"/>
          <w:szCs w:val="24"/>
          <w:lang w:val="es-ES_tradnl"/>
        </w:rPr>
        <w:t>(a) de Hacienda y Crédito Público.</w:t>
      </w:r>
    </w:p>
    <w:p w14:paraId="4079B113" w14:textId="77777777" w:rsidR="002C4A3D" w:rsidRPr="005A2830" w:rsidRDefault="002C4A3D" w:rsidP="002C4A3D">
      <w:pPr>
        <w:ind w:right="49"/>
        <w:jc w:val="both"/>
        <w:rPr>
          <w:rFonts w:ascii="Aptos" w:hAnsi="Aptos"/>
          <w:sz w:val="24"/>
          <w:szCs w:val="24"/>
          <w:lang w:val="es-ES_tradnl"/>
        </w:rPr>
      </w:pPr>
      <w:r w:rsidRPr="005A2830">
        <w:rPr>
          <w:rFonts w:ascii="Aptos" w:hAnsi="Aptos"/>
          <w:sz w:val="24"/>
          <w:szCs w:val="24"/>
          <w:lang w:val="es-ES_tradnl"/>
        </w:rPr>
        <w:t>d)</w:t>
      </w:r>
      <w:r w:rsidRPr="005A2830">
        <w:rPr>
          <w:rFonts w:ascii="Aptos" w:hAnsi="Aptos"/>
          <w:sz w:val="24"/>
          <w:szCs w:val="24"/>
          <w:lang w:val="es-ES_tradnl"/>
        </w:rPr>
        <w:tab/>
        <w:t xml:space="preserve">El (la) </w:t>
      </w:r>
      <w:proofErr w:type="gramStart"/>
      <w:r w:rsidRPr="005A2830">
        <w:rPr>
          <w:rFonts w:ascii="Aptos" w:hAnsi="Aptos"/>
          <w:sz w:val="24"/>
          <w:szCs w:val="24"/>
          <w:lang w:val="es-ES_tradnl"/>
        </w:rPr>
        <w:t>Ministro</w:t>
      </w:r>
      <w:proofErr w:type="gramEnd"/>
      <w:r w:rsidRPr="005A2830">
        <w:rPr>
          <w:rFonts w:ascii="Aptos" w:hAnsi="Aptos"/>
          <w:sz w:val="24"/>
          <w:szCs w:val="24"/>
          <w:lang w:val="es-ES_tradnl"/>
        </w:rPr>
        <w:t>(a) de Agricultura y Desarrollo Rural,</w:t>
      </w:r>
    </w:p>
    <w:p w14:paraId="178AFA20" w14:textId="77777777" w:rsidR="002C4A3D" w:rsidRPr="005A2830" w:rsidRDefault="002C4A3D" w:rsidP="002C4A3D">
      <w:pPr>
        <w:ind w:right="49"/>
        <w:jc w:val="both"/>
        <w:rPr>
          <w:rFonts w:ascii="Aptos" w:hAnsi="Aptos"/>
          <w:sz w:val="24"/>
          <w:szCs w:val="24"/>
          <w:lang w:val="es-ES_tradnl"/>
        </w:rPr>
      </w:pPr>
      <w:r w:rsidRPr="005A2830">
        <w:rPr>
          <w:rFonts w:ascii="Aptos" w:hAnsi="Aptos"/>
          <w:sz w:val="24"/>
          <w:szCs w:val="24"/>
          <w:lang w:val="es-ES_tradnl"/>
        </w:rPr>
        <w:t>e)</w:t>
      </w:r>
      <w:r w:rsidRPr="005A2830">
        <w:rPr>
          <w:rFonts w:ascii="Aptos" w:hAnsi="Aptos"/>
          <w:sz w:val="24"/>
          <w:szCs w:val="24"/>
          <w:lang w:val="es-ES_tradnl"/>
        </w:rPr>
        <w:tab/>
        <w:t xml:space="preserve">El (la) </w:t>
      </w:r>
      <w:proofErr w:type="gramStart"/>
      <w:r w:rsidRPr="005A2830">
        <w:rPr>
          <w:rFonts w:ascii="Aptos" w:hAnsi="Aptos"/>
          <w:sz w:val="24"/>
          <w:szCs w:val="24"/>
          <w:lang w:val="es-ES_tradnl"/>
        </w:rPr>
        <w:t>Ministro</w:t>
      </w:r>
      <w:proofErr w:type="gramEnd"/>
      <w:r w:rsidRPr="005A2830">
        <w:rPr>
          <w:rFonts w:ascii="Aptos" w:hAnsi="Aptos"/>
          <w:sz w:val="24"/>
          <w:szCs w:val="24"/>
          <w:lang w:val="es-ES_tradnl"/>
        </w:rPr>
        <w:t>(a) de Comercio, Industria y Turismo, o a quien delegue.</w:t>
      </w:r>
    </w:p>
    <w:p w14:paraId="49AA5765" w14:textId="77777777" w:rsidR="002C4A3D" w:rsidRPr="005A2830" w:rsidRDefault="002C4A3D" w:rsidP="002C4A3D">
      <w:pPr>
        <w:ind w:right="49"/>
        <w:jc w:val="both"/>
        <w:rPr>
          <w:rFonts w:ascii="Aptos" w:hAnsi="Aptos"/>
          <w:sz w:val="24"/>
          <w:szCs w:val="24"/>
          <w:lang w:val="es-ES_tradnl"/>
        </w:rPr>
      </w:pPr>
      <w:r w:rsidRPr="005A2830">
        <w:rPr>
          <w:rFonts w:ascii="Aptos" w:hAnsi="Aptos"/>
          <w:sz w:val="24"/>
          <w:szCs w:val="24"/>
          <w:lang w:val="es-ES_tradnl"/>
        </w:rPr>
        <w:t>f)</w:t>
      </w:r>
      <w:r w:rsidRPr="005A2830">
        <w:rPr>
          <w:rFonts w:ascii="Aptos" w:hAnsi="Aptos"/>
          <w:sz w:val="24"/>
          <w:szCs w:val="24"/>
          <w:lang w:val="es-ES_tradnl"/>
        </w:rPr>
        <w:tab/>
        <w:t xml:space="preserve">El (la) </w:t>
      </w:r>
      <w:proofErr w:type="gramStart"/>
      <w:r w:rsidRPr="005A2830">
        <w:rPr>
          <w:rFonts w:ascii="Aptos" w:hAnsi="Aptos"/>
          <w:sz w:val="24"/>
          <w:szCs w:val="24"/>
          <w:lang w:val="es-ES_tradnl"/>
        </w:rPr>
        <w:t>Ministro</w:t>
      </w:r>
      <w:proofErr w:type="gramEnd"/>
      <w:r w:rsidRPr="005A2830">
        <w:rPr>
          <w:rFonts w:ascii="Aptos" w:hAnsi="Aptos"/>
          <w:sz w:val="24"/>
          <w:szCs w:val="24"/>
          <w:lang w:val="es-ES_tradnl"/>
        </w:rPr>
        <w:t>(a) de Transporte, o a quien delegue.</w:t>
      </w:r>
    </w:p>
    <w:p w14:paraId="26E79941" w14:textId="77777777" w:rsidR="002C4A3D" w:rsidRPr="005A2830" w:rsidRDefault="002C4A3D" w:rsidP="002C4A3D">
      <w:pPr>
        <w:ind w:right="49"/>
        <w:jc w:val="both"/>
        <w:rPr>
          <w:rFonts w:ascii="Aptos" w:hAnsi="Aptos"/>
          <w:sz w:val="24"/>
          <w:szCs w:val="24"/>
          <w:lang w:val="es-ES_tradnl"/>
        </w:rPr>
      </w:pPr>
      <w:r w:rsidRPr="005A2830">
        <w:rPr>
          <w:rFonts w:ascii="Aptos" w:hAnsi="Aptos"/>
          <w:sz w:val="24"/>
          <w:szCs w:val="24"/>
          <w:lang w:val="es-ES_tradnl"/>
        </w:rPr>
        <w:t>g)</w:t>
      </w:r>
      <w:r w:rsidRPr="005A2830">
        <w:rPr>
          <w:rFonts w:ascii="Aptos" w:hAnsi="Aptos"/>
          <w:sz w:val="24"/>
          <w:szCs w:val="24"/>
          <w:lang w:val="es-ES_tradnl"/>
        </w:rPr>
        <w:tab/>
        <w:t xml:space="preserve">El (La) </w:t>
      </w:r>
      <w:proofErr w:type="gramStart"/>
      <w:r w:rsidRPr="005A2830">
        <w:rPr>
          <w:rFonts w:ascii="Aptos" w:hAnsi="Aptos"/>
          <w:sz w:val="24"/>
          <w:szCs w:val="24"/>
          <w:lang w:val="es-ES_tradnl"/>
        </w:rPr>
        <w:t>Ministro</w:t>
      </w:r>
      <w:proofErr w:type="gramEnd"/>
      <w:r w:rsidRPr="005A2830">
        <w:rPr>
          <w:rFonts w:ascii="Aptos" w:hAnsi="Aptos"/>
          <w:sz w:val="24"/>
          <w:szCs w:val="24"/>
          <w:lang w:val="es-ES_tradnl"/>
        </w:rPr>
        <w:t xml:space="preserve"> (a) de Ciencia, Tecnología e Innovación, o a quien delegue.</w:t>
      </w:r>
    </w:p>
    <w:p w14:paraId="7B557223" w14:textId="52926A73" w:rsidR="002C4A3D" w:rsidRPr="005A2830" w:rsidRDefault="002C4A3D" w:rsidP="002C4A3D">
      <w:pPr>
        <w:ind w:right="49"/>
        <w:jc w:val="both"/>
        <w:rPr>
          <w:rFonts w:ascii="Aptos" w:hAnsi="Aptos"/>
          <w:sz w:val="24"/>
          <w:szCs w:val="24"/>
          <w:lang w:val="es-ES_tradnl"/>
        </w:rPr>
      </w:pPr>
      <w:r w:rsidRPr="005A2830">
        <w:rPr>
          <w:rFonts w:ascii="Aptos" w:hAnsi="Aptos"/>
          <w:sz w:val="24"/>
          <w:szCs w:val="24"/>
          <w:lang w:val="es-ES_tradnl"/>
        </w:rPr>
        <w:t>h)</w:t>
      </w:r>
      <w:r w:rsidRPr="005A2830">
        <w:rPr>
          <w:rFonts w:ascii="Aptos" w:hAnsi="Aptos"/>
          <w:sz w:val="24"/>
          <w:szCs w:val="24"/>
          <w:lang w:val="es-ES_tradnl"/>
        </w:rPr>
        <w:tab/>
        <w:t xml:space="preserve">El (la) </w:t>
      </w:r>
      <w:proofErr w:type="gramStart"/>
      <w:r w:rsidRPr="005A2830">
        <w:rPr>
          <w:rFonts w:ascii="Aptos" w:hAnsi="Aptos"/>
          <w:sz w:val="24"/>
          <w:szCs w:val="24"/>
          <w:lang w:val="es-ES_tradnl"/>
        </w:rPr>
        <w:t>Director</w:t>
      </w:r>
      <w:proofErr w:type="gramEnd"/>
      <w:r w:rsidRPr="005A2830">
        <w:rPr>
          <w:rFonts w:ascii="Aptos" w:hAnsi="Aptos"/>
          <w:sz w:val="24"/>
          <w:szCs w:val="24"/>
          <w:lang w:val="es-ES_tradnl"/>
        </w:rPr>
        <w:t>(a) del Departamento Nacional de Planeación.</w:t>
      </w:r>
    </w:p>
    <w:p w14:paraId="1808A5EC" w14:textId="77777777" w:rsidR="002C4A3D" w:rsidRPr="005A2830" w:rsidRDefault="002C4A3D" w:rsidP="002C4A3D">
      <w:pPr>
        <w:ind w:right="49"/>
        <w:jc w:val="both"/>
        <w:rPr>
          <w:rFonts w:ascii="Aptos" w:hAnsi="Aptos"/>
          <w:sz w:val="24"/>
          <w:szCs w:val="24"/>
          <w:lang w:val="es-ES_tradnl"/>
        </w:rPr>
      </w:pPr>
      <w:r w:rsidRPr="005A2830">
        <w:rPr>
          <w:rFonts w:ascii="Aptos" w:hAnsi="Aptos"/>
          <w:sz w:val="24"/>
          <w:szCs w:val="24"/>
          <w:lang w:val="es-ES_tradnl"/>
        </w:rPr>
        <w:t>Parágrafo. Los integrantes de la comisión técnica y de desarrollo sectorial podrán invitar, cuando se requiera a otros representantes del sector público o privado, para temas relacionados con la producción, comercialización, almacenamiento, transporte, usos y exportación del hidrógeno en Colombia.</w:t>
      </w:r>
    </w:p>
    <w:p w14:paraId="50676D12" w14:textId="2497BBA1" w:rsidR="002C4A3D" w:rsidRDefault="002C4A3D" w:rsidP="002C4A3D">
      <w:pPr>
        <w:ind w:right="49"/>
        <w:jc w:val="both"/>
        <w:rPr>
          <w:rFonts w:ascii="Aptos" w:hAnsi="Aptos"/>
          <w:sz w:val="24"/>
          <w:szCs w:val="24"/>
          <w:lang w:val="es-ES_tradnl"/>
        </w:rPr>
      </w:pPr>
      <w:r w:rsidRPr="005A2830">
        <w:rPr>
          <w:rFonts w:ascii="Aptos" w:hAnsi="Aptos"/>
          <w:sz w:val="24"/>
          <w:szCs w:val="24"/>
          <w:lang w:val="es-ES_tradnl"/>
        </w:rPr>
        <w:t>Esta inclusión permite que actual proyecto de decreto que viene siendo promovido desde el Ministerio de Minas y Energía para la conformación de comisión intersectorial se corresponda con las disposiciones establecidas en el presente proyecto de ley, en particular, en sus artículos 8 y 12.</w:t>
      </w:r>
    </w:p>
    <w:p w14:paraId="592FA407" w14:textId="77777777" w:rsidR="00441FEE" w:rsidRDefault="00441FEE" w:rsidP="002C4A3D">
      <w:pPr>
        <w:ind w:right="49"/>
        <w:jc w:val="both"/>
        <w:rPr>
          <w:rFonts w:ascii="Aptos" w:hAnsi="Aptos"/>
          <w:sz w:val="24"/>
          <w:szCs w:val="24"/>
          <w:lang w:val="es-ES_tradnl"/>
        </w:rPr>
      </w:pPr>
    </w:p>
    <w:p w14:paraId="1045F691" w14:textId="77777777" w:rsidR="00441FEE" w:rsidRPr="005A2830" w:rsidRDefault="00441FEE" w:rsidP="002C4A3D">
      <w:pPr>
        <w:ind w:right="49"/>
        <w:jc w:val="both"/>
        <w:rPr>
          <w:rFonts w:ascii="Aptos" w:hAnsi="Aptos"/>
          <w:sz w:val="24"/>
          <w:szCs w:val="24"/>
          <w:lang w:val="es-ES_tradnl"/>
        </w:rPr>
      </w:pPr>
    </w:p>
    <w:p w14:paraId="0BE2E49A" w14:textId="01AC58C2" w:rsidR="002C4A3D" w:rsidRPr="005A2830" w:rsidRDefault="002C4A3D" w:rsidP="002C4A3D">
      <w:pPr>
        <w:ind w:right="49"/>
        <w:jc w:val="both"/>
        <w:rPr>
          <w:rFonts w:ascii="Aptos" w:hAnsi="Aptos"/>
          <w:b/>
          <w:bCs/>
          <w:sz w:val="24"/>
          <w:szCs w:val="24"/>
          <w:lang w:val="es-ES_tradnl"/>
        </w:rPr>
      </w:pPr>
      <w:r w:rsidRPr="005A2830">
        <w:rPr>
          <w:rFonts w:ascii="Aptos" w:hAnsi="Aptos"/>
          <w:b/>
          <w:bCs/>
          <w:sz w:val="24"/>
          <w:szCs w:val="24"/>
          <w:lang w:val="es-ES_tradnl"/>
        </w:rPr>
        <w:lastRenderedPageBreak/>
        <w:t>Artículo 9.</w:t>
      </w:r>
    </w:p>
    <w:p w14:paraId="37FA489C" w14:textId="25C66D61" w:rsidR="002C4A3D" w:rsidRPr="005A2830" w:rsidRDefault="00441FEE" w:rsidP="002C4A3D">
      <w:pPr>
        <w:ind w:right="49"/>
        <w:jc w:val="both"/>
        <w:rPr>
          <w:rFonts w:ascii="Aptos" w:hAnsi="Aptos"/>
          <w:sz w:val="24"/>
          <w:szCs w:val="24"/>
          <w:lang w:val="es-ES_tradnl"/>
        </w:rPr>
      </w:pPr>
      <w:r>
        <w:rPr>
          <w:rFonts w:ascii="Aptos" w:hAnsi="Aptos"/>
          <w:sz w:val="24"/>
          <w:szCs w:val="24"/>
          <w:lang w:val="es-ES_tradnl"/>
        </w:rPr>
        <w:t xml:space="preserve">En la sección III sobre ajustes al articulado </w:t>
      </w:r>
      <w:r w:rsidR="002C4A3D" w:rsidRPr="005A2830">
        <w:rPr>
          <w:rFonts w:ascii="Aptos" w:hAnsi="Aptos"/>
          <w:sz w:val="24"/>
          <w:szCs w:val="24"/>
          <w:lang w:val="es-ES_tradnl"/>
        </w:rPr>
        <w:t xml:space="preserve">nos permitimos indicar que en términos técnicos se considera pertinente </w:t>
      </w:r>
      <w:r w:rsidR="004E5148">
        <w:rPr>
          <w:rFonts w:ascii="Aptos" w:hAnsi="Aptos"/>
          <w:sz w:val="24"/>
          <w:szCs w:val="24"/>
          <w:lang w:val="es-ES_tradnl"/>
        </w:rPr>
        <w:t xml:space="preserve">este </w:t>
      </w:r>
      <w:r w:rsidR="002C4A3D" w:rsidRPr="005A2830">
        <w:rPr>
          <w:rFonts w:ascii="Aptos" w:hAnsi="Aptos"/>
          <w:sz w:val="24"/>
          <w:szCs w:val="24"/>
          <w:lang w:val="es-ES_tradnl"/>
        </w:rPr>
        <w:t>ajuste, teniendo en cuenta que dentro de CONPES se tiene contemplado el estudio de esquema de generación de demanda de hidrógeno verde y bajas emisiones para que empresas y sectores de mayor demanda de energía térmica o con mayor potencial de sustitución de combustibles fósiles o con grandes consumos de hidrógeno o sus derivados.</w:t>
      </w:r>
    </w:p>
    <w:p w14:paraId="17C04F8F" w14:textId="77777777" w:rsidR="002C4A3D" w:rsidRPr="005A2830" w:rsidRDefault="002C4A3D" w:rsidP="002C4A3D">
      <w:pPr>
        <w:ind w:right="49"/>
        <w:jc w:val="both"/>
        <w:rPr>
          <w:rFonts w:ascii="Aptos" w:hAnsi="Aptos"/>
          <w:sz w:val="24"/>
          <w:szCs w:val="24"/>
          <w:lang w:val="es-ES_tradnl"/>
        </w:rPr>
      </w:pPr>
      <w:r w:rsidRPr="005A2830">
        <w:rPr>
          <w:rFonts w:ascii="Aptos" w:hAnsi="Aptos"/>
          <w:sz w:val="24"/>
          <w:szCs w:val="24"/>
          <w:lang w:val="es-ES_tradnl"/>
        </w:rPr>
        <w:t>Respecto a la modificación propuesta para el parágrafo transitorio del artículo 9, desde el Ministerio de Minas y Energía se encuentra pertinente que el análisis y posterior implementación de mecanismos de fomento a la demanda se extiendan a los derivados del hidrógeno. En ese sentido se considera oportuno que el tiempo para la creación de mecanismo de financiamiento establecido en parágrafo transitorio sea modificado en términos de período de concepción del mecanismo y las vigencias en las que los proyectos se encuentren en construcción.</w:t>
      </w:r>
    </w:p>
    <w:p w14:paraId="2D733CDC" w14:textId="074F46C8" w:rsidR="002C4A3D" w:rsidRPr="005A2830" w:rsidRDefault="002C4A3D" w:rsidP="002C4A3D">
      <w:pPr>
        <w:ind w:right="49"/>
        <w:jc w:val="both"/>
        <w:rPr>
          <w:rFonts w:ascii="Aptos" w:hAnsi="Aptos"/>
          <w:b/>
          <w:bCs/>
          <w:sz w:val="24"/>
          <w:szCs w:val="24"/>
          <w:lang w:val="es-ES_tradnl"/>
        </w:rPr>
      </w:pPr>
      <w:r w:rsidRPr="005A2830">
        <w:rPr>
          <w:rFonts w:ascii="Aptos" w:hAnsi="Aptos"/>
          <w:b/>
          <w:bCs/>
          <w:sz w:val="24"/>
          <w:szCs w:val="24"/>
          <w:lang w:val="es-ES_tradnl"/>
        </w:rPr>
        <w:t>Artículo 11</w:t>
      </w:r>
      <w:r w:rsidR="005A2830" w:rsidRPr="005A2830">
        <w:rPr>
          <w:rFonts w:ascii="Aptos" w:hAnsi="Aptos"/>
          <w:b/>
          <w:bCs/>
          <w:sz w:val="24"/>
          <w:szCs w:val="24"/>
          <w:lang w:val="es-ES_tradnl"/>
        </w:rPr>
        <w:t xml:space="preserve">. </w:t>
      </w:r>
      <w:r w:rsidRPr="005A2830">
        <w:rPr>
          <w:rFonts w:ascii="Aptos" w:hAnsi="Aptos"/>
          <w:b/>
          <w:bCs/>
          <w:sz w:val="24"/>
          <w:szCs w:val="24"/>
          <w:lang w:val="es-ES_tradnl"/>
        </w:rPr>
        <w:t>Para este artículo se sugiere ajustar redacción</w:t>
      </w:r>
      <w:r w:rsidR="00A6516B">
        <w:rPr>
          <w:rFonts w:ascii="Aptos" w:hAnsi="Aptos"/>
          <w:b/>
          <w:bCs/>
          <w:sz w:val="24"/>
          <w:szCs w:val="24"/>
          <w:lang w:val="es-ES_tradnl"/>
        </w:rPr>
        <w:t>:</w:t>
      </w:r>
    </w:p>
    <w:p w14:paraId="0002454C" w14:textId="77777777" w:rsidR="004E5148" w:rsidRDefault="002C4A3D" w:rsidP="002C4A3D">
      <w:pPr>
        <w:ind w:right="49"/>
        <w:jc w:val="both"/>
        <w:rPr>
          <w:rFonts w:ascii="Aptos" w:hAnsi="Aptos"/>
          <w:sz w:val="24"/>
          <w:szCs w:val="24"/>
          <w:lang w:val="es-ES_tradnl"/>
        </w:rPr>
      </w:pPr>
      <w:r w:rsidRPr="005A2830">
        <w:rPr>
          <w:rFonts w:ascii="Aptos" w:hAnsi="Aptos"/>
          <w:sz w:val="24"/>
          <w:szCs w:val="24"/>
          <w:lang w:val="es-ES_tradnl"/>
        </w:rPr>
        <w:t>ARTÍCULO 11°. Incentivo y promoción de la industria nacional de hidrógeno de Bajas Emisiones y sus Derivados.</w:t>
      </w:r>
      <w:r w:rsidRPr="004E5148">
        <w:rPr>
          <w:rFonts w:ascii="Aptos" w:hAnsi="Aptos"/>
          <w:i/>
          <w:iCs/>
          <w:sz w:val="24"/>
          <w:szCs w:val="24"/>
          <w:lang w:val="es-ES_tradnl"/>
        </w:rPr>
        <w:t xml:space="preserve"> Con la expedición de la presente Ley, el Gobierno nacional a través de sus entidades, en el marco de sus competencias deberá generar incentivos económicos(...)”.</w:t>
      </w:r>
    </w:p>
    <w:p w14:paraId="4DC93CF4" w14:textId="04FECFAA" w:rsidR="002C4A3D" w:rsidRPr="005A2830" w:rsidRDefault="002C4A3D" w:rsidP="002C4A3D">
      <w:pPr>
        <w:ind w:right="49"/>
        <w:jc w:val="both"/>
        <w:rPr>
          <w:rFonts w:ascii="Aptos" w:hAnsi="Aptos"/>
          <w:sz w:val="24"/>
          <w:szCs w:val="24"/>
          <w:lang w:val="es-ES_tradnl"/>
        </w:rPr>
      </w:pPr>
      <w:r w:rsidRPr="005A2830">
        <w:rPr>
          <w:rFonts w:ascii="Aptos" w:hAnsi="Aptos"/>
          <w:sz w:val="24"/>
          <w:szCs w:val="24"/>
          <w:lang w:val="es-ES_tradnl"/>
        </w:rPr>
        <w:t xml:space="preserve">Adicionalmente, se sugiere conservar dentro de la redacción el texto que se pretende eliminar </w:t>
      </w:r>
      <w:r w:rsidR="004E5148">
        <w:rPr>
          <w:rFonts w:ascii="Aptos" w:hAnsi="Aptos"/>
          <w:sz w:val="24"/>
          <w:szCs w:val="24"/>
          <w:lang w:val="es-ES_tradnl"/>
        </w:rPr>
        <w:t xml:space="preserve"> </w:t>
      </w:r>
      <w:r w:rsidRPr="004E5148">
        <w:rPr>
          <w:rFonts w:ascii="Aptos" w:hAnsi="Aptos"/>
          <w:sz w:val="24"/>
          <w:szCs w:val="24"/>
          <w:u w:val="single"/>
          <w:lang w:val="es-ES_tradnl"/>
        </w:rPr>
        <w:t>“Los programas de incentivos económicos deberán ser progresivos según impacto de abatimiento de gases efecto invernadero”</w:t>
      </w:r>
      <w:r w:rsidRPr="005A2830">
        <w:rPr>
          <w:rFonts w:ascii="Aptos" w:hAnsi="Aptos"/>
          <w:sz w:val="24"/>
          <w:szCs w:val="24"/>
          <w:lang w:val="es-ES_tradnl"/>
        </w:rPr>
        <w:t xml:space="preserve"> teniendo en cuenta que en la redacción del artículo se indica que el Gobierno nacional a través de sus entidades, en el marco de sus competencias deberá generar incentivos económicos a la industria nacional que permitan el desarrollo de actividades conexas, complementarias o necesarias para la materialización del objeto de la presente ley, adicionales a los establecidos en las leyes 2099 de 2021 y 1715 de 2014, por lo que la utilización del impacto en abatimiento de gases de efecto invernadero como criterio para la progresividad de los incentivos económicos resulta ser una categoría adecuada para evaluar y hacer seguimiento al cumplimiento de su propósito.</w:t>
      </w:r>
    </w:p>
    <w:p w14:paraId="3C342FF6" w14:textId="57D28CD6" w:rsidR="002C4A3D" w:rsidRPr="005A2830" w:rsidRDefault="002C4A3D" w:rsidP="002C4A3D">
      <w:pPr>
        <w:ind w:right="49"/>
        <w:jc w:val="both"/>
        <w:rPr>
          <w:rFonts w:ascii="Aptos" w:hAnsi="Aptos"/>
          <w:sz w:val="24"/>
          <w:szCs w:val="24"/>
          <w:lang w:val="es-ES_tradnl"/>
        </w:rPr>
      </w:pPr>
      <w:r w:rsidRPr="005A2830">
        <w:rPr>
          <w:rFonts w:ascii="Aptos" w:hAnsi="Aptos"/>
          <w:sz w:val="24"/>
          <w:szCs w:val="24"/>
          <w:lang w:val="es-ES_tradnl"/>
        </w:rPr>
        <w:lastRenderedPageBreak/>
        <w:t xml:space="preserve">Con esta </w:t>
      </w:r>
      <w:r w:rsidR="004E5148">
        <w:rPr>
          <w:rFonts w:ascii="Aptos" w:hAnsi="Aptos"/>
          <w:sz w:val="24"/>
          <w:szCs w:val="24"/>
          <w:lang w:val="es-ES_tradnl"/>
        </w:rPr>
        <w:t>modificación</w:t>
      </w:r>
      <w:r w:rsidRPr="005A2830">
        <w:rPr>
          <w:rFonts w:ascii="Aptos" w:hAnsi="Aptos"/>
          <w:sz w:val="24"/>
          <w:szCs w:val="24"/>
          <w:lang w:val="es-ES_tradnl"/>
        </w:rPr>
        <w:t>, desde el Ministerio de Minas y Energía se considera necesario conservar redacción original, así:</w:t>
      </w:r>
    </w:p>
    <w:p w14:paraId="1D171504" w14:textId="70BAB136" w:rsidR="002C4A3D" w:rsidRPr="005A2830" w:rsidRDefault="002C4A3D" w:rsidP="002C4A3D">
      <w:pPr>
        <w:ind w:right="49"/>
        <w:jc w:val="both"/>
        <w:rPr>
          <w:rFonts w:ascii="Aptos" w:hAnsi="Aptos"/>
          <w:sz w:val="24"/>
          <w:szCs w:val="24"/>
          <w:lang w:val="es-ES_tradnl"/>
        </w:rPr>
      </w:pPr>
      <w:r w:rsidRPr="005A2830">
        <w:rPr>
          <w:rFonts w:ascii="Aptos" w:hAnsi="Aptos"/>
          <w:sz w:val="24"/>
          <w:szCs w:val="24"/>
          <w:lang w:val="es-ES_tradnl"/>
        </w:rPr>
        <w:t>Parágrafo 1°. el Ministerio de Ambiente y Desarrollo Sostenible y el Ministerio de Minas y Energía definirán la curva de incentivos progresivos según el porcentaje de abatimiento de gases de efecto invernadero (GEI) asociados a cada proyecto que presente solicitud de beneficio económico.</w:t>
      </w:r>
    </w:p>
    <w:p w14:paraId="198DFC05" w14:textId="25CF6B06" w:rsidR="002C4A3D" w:rsidRPr="005A2830" w:rsidRDefault="00A6516B" w:rsidP="002C4A3D">
      <w:pPr>
        <w:ind w:right="49"/>
        <w:jc w:val="both"/>
        <w:rPr>
          <w:rFonts w:ascii="Aptos" w:hAnsi="Aptos"/>
          <w:sz w:val="24"/>
          <w:szCs w:val="24"/>
          <w:lang w:val="es-ES_tradnl"/>
        </w:rPr>
      </w:pPr>
      <w:r>
        <w:rPr>
          <w:rFonts w:ascii="Aptos" w:hAnsi="Aptos"/>
          <w:sz w:val="24"/>
          <w:szCs w:val="24"/>
          <w:lang w:val="es-ES_tradnl"/>
        </w:rPr>
        <w:t>Lo anterior</w:t>
      </w:r>
      <w:r w:rsidR="002C4A3D" w:rsidRPr="005A2830">
        <w:rPr>
          <w:rFonts w:ascii="Aptos" w:hAnsi="Aptos"/>
          <w:sz w:val="24"/>
          <w:szCs w:val="24"/>
          <w:lang w:val="es-ES_tradnl"/>
        </w:rPr>
        <w:t>, en procura, de la adecuada implementación de utilización del impacto en abatimiento de gases de efecto invernadero como criterio para la progresividad de los incentivos económicos resulta ser una categoría adecuada para evaluar y hacer seguimiento al cumplimiento de su propósito.</w:t>
      </w:r>
    </w:p>
    <w:p w14:paraId="6709B771" w14:textId="4826F1CC" w:rsidR="002C4A3D" w:rsidRPr="005A2830" w:rsidRDefault="002C4A3D" w:rsidP="002C4A3D">
      <w:pPr>
        <w:ind w:right="49"/>
        <w:jc w:val="both"/>
        <w:rPr>
          <w:rFonts w:ascii="Aptos" w:hAnsi="Aptos"/>
          <w:sz w:val="24"/>
          <w:szCs w:val="24"/>
          <w:lang w:val="es-ES_tradnl"/>
        </w:rPr>
      </w:pPr>
      <w:r w:rsidRPr="005A2830">
        <w:rPr>
          <w:rFonts w:ascii="Aptos" w:hAnsi="Aptos"/>
          <w:b/>
          <w:bCs/>
          <w:sz w:val="24"/>
          <w:szCs w:val="24"/>
          <w:lang w:val="es-ES_tradnl"/>
        </w:rPr>
        <w:t>Artículo 13.</w:t>
      </w:r>
      <w:r w:rsidR="005A2830" w:rsidRPr="005A2830">
        <w:rPr>
          <w:rFonts w:ascii="Aptos" w:hAnsi="Aptos"/>
          <w:b/>
          <w:bCs/>
          <w:sz w:val="24"/>
          <w:szCs w:val="24"/>
          <w:lang w:val="es-ES_tradnl"/>
        </w:rPr>
        <w:t xml:space="preserve"> </w:t>
      </w:r>
      <w:r w:rsidRPr="005A2830">
        <w:rPr>
          <w:rFonts w:ascii="Aptos" w:hAnsi="Aptos"/>
          <w:sz w:val="24"/>
          <w:szCs w:val="24"/>
          <w:lang w:val="es-ES_tradnl"/>
        </w:rPr>
        <w:t xml:space="preserve">Para el artículo 13 se recomienda revisar redacción del artículo, en particular a lo relacionado con captura, clarificando si se refiere a captura de carbono, teniendo en cuenta que su redacción actual no permite identificar a qué hace referencia captura, así: </w:t>
      </w:r>
    </w:p>
    <w:p w14:paraId="7ACF593E" w14:textId="77777777" w:rsidR="002C4A3D" w:rsidRPr="004E5148" w:rsidRDefault="002C4A3D" w:rsidP="002C4A3D">
      <w:pPr>
        <w:ind w:right="49"/>
        <w:jc w:val="both"/>
        <w:rPr>
          <w:rFonts w:ascii="Aptos" w:hAnsi="Aptos"/>
          <w:i/>
          <w:iCs/>
          <w:sz w:val="24"/>
          <w:szCs w:val="24"/>
          <w:lang w:val="es-ES_tradnl"/>
        </w:rPr>
      </w:pPr>
      <w:r w:rsidRPr="004E5148">
        <w:rPr>
          <w:rFonts w:ascii="Aptos" w:hAnsi="Aptos"/>
          <w:i/>
          <w:iCs/>
          <w:sz w:val="24"/>
          <w:szCs w:val="24"/>
          <w:lang w:val="es-ES_tradnl"/>
        </w:rPr>
        <w:t>“(...) se incentivarán y fortalecerán los planes, programas y proyectos que involucren tanto la manufactura de equipos, dispositivos y tecnología asociada al ecosistema del hidrógeno, como al desarrollo de proyectos de producción, captura de carbono, almacenamiento, transporte, usos, así como la exportación de hidrógeno presentados para financiación ante el Fondo de Energías No Convencionales y Gestión Eficiente de la Energía (FENOGE) (...)”</w:t>
      </w:r>
    </w:p>
    <w:p w14:paraId="7A27D8C9" w14:textId="5966D936" w:rsidR="002C4A3D" w:rsidRPr="005A2830" w:rsidRDefault="002C4A3D" w:rsidP="002C4A3D">
      <w:pPr>
        <w:ind w:right="49"/>
        <w:jc w:val="both"/>
        <w:rPr>
          <w:rFonts w:ascii="Aptos" w:hAnsi="Aptos"/>
          <w:sz w:val="24"/>
          <w:szCs w:val="24"/>
          <w:lang w:val="es-ES_tradnl"/>
        </w:rPr>
      </w:pPr>
      <w:r w:rsidRPr="005A2830">
        <w:rPr>
          <w:rFonts w:ascii="Aptos" w:hAnsi="Aptos"/>
          <w:b/>
          <w:bCs/>
          <w:sz w:val="24"/>
          <w:szCs w:val="24"/>
          <w:lang w:val="es-ES_tradnl"/>
        </w:rPr>
        <w:t>Artículo 15.</w:t>
      </w:r>
      <w:r w:rsidR="005A2830" w:rsidRPr="005A2830">
        <w:rPr>
          <w:rFonts w:ascii="Aptos" w:hAnsi="Aptos"/>
          <w:b/>
          <w:bCs/>
          <w:sz w:val="24"/>
          <w:szCs w:val="24"/>
          <w:lang w:val="es-ES_tradnl"/>
        </w:rPr>
        <w:t xml:space="preserve"> </w:t>
      </w:r>
      <w:r w:rsidRPr="005A2830">
        <w:rPr>
          <w:rFonts w:ascii="Aptos" w:hAnsi="Aptos"/>
          <w:sz w:val="24"/>
          <w:szCs w:val="24"/>
          <w:lang w:val="es-ES_tradnl"/>
        </w:rPr>
        <w:t>Para el artículo 15 se recomienda revisar redacción del artículo, en particular a lo relacionado con la palabra dializado, clarificando si se refiere a dualizado, teniendo en cuenta que su redacción actual presenta error ortográfico, así:</w:t>
      </w:r>
    </w:p>
    <w:p w14:paraId="597C75A9" w14:textId="77777777" w:rsidR="002C4A3D" w:rsidRPr="005A2830" w:rsidRDefault="002C4A3D" w:rsidP="002C4A3D">
      <w:pPr>
        <w:ind w:right="49"/>
        <w:jc w:val="both"/>
        <w:rPr>
          <w:rFonts w:ascii="Aptos" w:hAnsi="Aptos"/>
          <w:sz w:val="24"/>
          <w:szCs w:val="24"/>
          <w:lang w:val="es-ES_tradnl"/>
        </w:rPr>
      </w:pPr>
      <w:r w:rsidRPr="005A2830">
        <w:rPr>
          <w:rFonts w:ascii="Aptos" w:hAnsi="Aptos"/>
          <w:sz w:val="24"/>
          <w:szCs w:val="24"/>
          <w:lang w:val="es-ES_tradnl"/>
        </w:rPr>
        <w:t>“(...) harán estudios técnicos pertinentes para evaluar la inclusión del hidrógeno y los vehículos dedicados, híbridos</w:t>
      </w:r>
      <w:r w:rsidRPr="004E5148">
        <w:rPr>
          <w:rFonts w:ascii="Aptos" w:hAnsi="Aptos"/>
          <w:i/>
          <w:iCs/>
          <w:sz w:val="24"/>
          <w:szCs w:val="24"/>
          <w:lang w:val="es-ES_tradnl"/>
        </w:rPr>
        <w:t>/</w:t>
      </w:r>
      <w:proofErr w:type="spellStart"/>
      <w:r w:rsidRPr="004E5148">
        <w:rPr>
          <w:rFonts w:ascii="Aptos" w:hAnsi="Aptos"/>
          <w:i/>
          <w:iCs/>
          <w:sz w:val="24"/>
          <w:szCs w:val="24"/>
          <w:lang w:val="es-ES_tradnl"/>
        </w:rPr>
        <w:t>dualizados</w:t>
      </w:r>
      <w:proofErr w:type="spellEnd"/>
      <w:r w:rsidRPr="005A2830">
        <w:rPr>
          <w:rFonts w:ascii="Aptos" w:hAnsi="Aptos"/>
          <w:sz w:val="24"/>
          <w:szCs w:val="24"/>
          <w:lang w:val="es-ES_tradnl"/>
        </w:rPr>
        <w:t xml:space="preserve"> con hidrógeno, en los programas establecidos de transición energética en movilidad sostenible para el transporte público, transporte minero-industrial, transporte comercial y de pasajeros (...)”. </w:t>
      </w:r>
    </w:p>
    <w:p w14:paraId="2B704EAA" w14:textId="7AC88342" w:rsidR="002C4A3D" w:rsidRPr="005A2830" w:rsidRDefault="002C4A3D" w:rsidP="002C4A3D">
      <w:pPr>
        <w:ind w:right="49"/>
        <w:jc w:val="both"/>
        <w:rPr>
          <w:rFonts w:ascii="Aptos" w:hAnsi="Aptos"/>
          <w:sz w:val="24"/>
          <w:szCs w:val="24"/>
          <w:lang w:val="es-ES_tradnl"/>
        </w:rPr>
      </w:pPr>
      <w:r w:rsidRPr="005A2830">
        <w:rPr>
          <w:rFonts w:ascii="Aptos" w:hAnsi="Aptos"/>
          <w:sz w:val="24"/>
          <w:szCs w:val="24"/>
          <w:lang w:val="es-ES_tradnl"/>
        </w:rPr>
        <w:t>Adicionalmente, se sugiere aclarar al final de la redacción del artículo la referencia a combustión interna con combustibles fósiles, teniendo en que actualmente se están desarrollando motores de combustión interna con hidrógeno para aplicaciones en transporte, así:</w:t>
      </w:r>
    </w:p>
    <w:p w14:paraId="5CDABEA3" w14:textId="79607EC6" w:rsidR="002C4A3D" w:rsidRPr="004E5148" w:rsidRDefault="002C4A3D" w:rsidP="002C4A3D">
      <w:pPr>
        <w:ind w:right="49"/>
        <w:jc w:val="both"/>
        <w:rPr>
          <w:rFonts w:ascii="Aptos" w:hAnsi="Aptos"/>
          <w:i/>
          <w:iCs/>
          <w:sz w:val="24"/>
          <w:szCs w:val="24"/>
          <w:lang w:val="es-ES_tradnl"/>
        </w:rPr>
      </w:pPr>
      <w:r w:rsidRPr="004E5148">
        <w:rPr>
          <w:rFonts w:ascii="Aptos" w:hAnsi="Aptos"/>
          <w:i/>
          <w:iCs/>
          <w:sz w:val="24"/>
          <w:szCs w:val="24"/>
          <w:lang w:val="es-ES_tradnl"/>
        </w:rPr>
        <w:lastRenderedPageBreak/>
        <w:t xml:space="preserve">“(...) se examinarán casos donde el uso y aplicación de vehículos dedicados, híbridos/dializados con hidrógeno generan mayores beneficios en términos de costo total de propiedad (TCO) y costos de abatimiento, frente a los vehículos de batería eléctrica y de combustión interna con combustibles fósiles(...)” </w:t>
      </w:r>
    </w:p>
    <w:p w14:paraId="4ED0494F" w14:textId="77777777" w:rsidR="002C4A3D" w:rsidRPr="005A2830" w:rsidRDefault="002C4A3D" w:rsidP="002C4A3D">
      <w:pPr>
        <w:ind w:right="49"/>
        <w:jc w:val="both"/>
        <w:rPr>
          <w:rFonts w:ascii="Aptos" w:hAnsi="Aptos"/>
          <w:sz w:val="24"/>
          <w:szCs w:val="24"/>
          <w:lang w:val="es-ES_tradnl"/>
        </w:rPr>
      </w:pPr>
      <w:r w:rsidRPr="005A2830">
        <w:rPr>
          <w:rFonts w:ascii="Aptos" w:hAnsi="Aptos"/>
          <w:sz w:val="24"/>
          <w:szCs w:val="24"/>
          <w:lang w:val="es-ES_tradnl"/>
        </w:rPr>
        <w:t>Respecto a la proposición de adición de parágrafo 2 a artículo, en términos técnicos se considera viable y pertinente su inclusión, teniendo en cuenta que la evaluación diferencial de vehículos de hidrógeno que promuevan su utilización se encuentra precedida por evaluación que considera la realidad de las entidades y competitividad de la tecnología.</w:t>
      </w:r>
    </w:p>
    <w:p w14:paraId="165481A5" w14:textId="610D301D" w:rsidR="002C4A3D" w:rsidRPr="005A2830" w:rsidRDefault="002C4A3D" w:rsidP="002C4A3D">
      <w:pPr>
        <w:ind w:right="49"/>
        <w:jc w:val="both"/>
        <w:rPr>
          <w:rFonts w:ascii="Aptos" w:hAnsi="Aptos"/>
          <w:b/>
          <w:bCs/>
          <w:sz w:val="24"/>
          <w:szCs w:val="24"/>
          <w:lang w:val="es-ES_tradnl"/>
        </w:rPr>
      </w:pPr>
      <w:r w:rsidRPr="005A2830">
        <w:rPr>
          <w:rFonts w:ascii="Aptos" w:hAnsi="Aptos"/>
          <w:b/>
          <w:bCs/>
          <w:sz w:val="24"/>
          <w:szCs w:val="24"/>
          <w:lang w:val="es-ES_tradnl"/>
        </w:rPr>
        <w:t>Artículo 18</w:t>
      </w:r>
      <w:r w:rsidR="005A2830" w:rsidRPr="005A2830">
        <w:rPr>
          <w:rFonts w:ascii="Aptos" w:hAnsi="Aptos"/>
          <w:b/>
          <w:bCs/>
          <w:sz w:val="24"/>
          <w:szCs w:val="24"/>
          <w:lang w:val="es-ES_tradnl"/>
        </w:rPr>
        <w:t xml:space="preserve">. </w:t>
      </w:r>
      <w:r w:rsidRPr="005A2830">
        <w:rPr>
          <w:rFonts w:ascii="Aptos" w:hAnsi="Aptos"/>
          <w:sz w:val="24"/>
          <w:szCs w:val="24"/>
          <w:lang w:val="es-ES_tradnl"/>
        </w:rPr>
        <w:t>Teniendo en cuenta la dinámica actual para la postulación de proyectos a incentivos tributarios contemplados en leyes 1715 de 2014 y 2099 de 2021, a las cuales se realiza la evaluación técnica de la solicitud por parte de la UPME, se sugiere realizar revisión del artículo e indicar la entidad responsable de la evaluación de las solicitudes para incentivos de proyectos que comprenden inversiones en bienes, equipos y maquinaria para la producción, almacenamiento y distribución de fertilizantes como sales potásicas, fosfato de amonio, amoniaco bajo en emisiones y urea a partir de hidrógeno de bajas emisiones.</w:t>
      </w:r>
    </w:p>
    <w:p w14:paraId="34BE0B66" w14:textId="31D8B10E" w:rsidR="002C4A3D" w:rsidRPr="005A2830" w:rsidRDefault="002C4A3D" w:rsidP="002C4A3D">
      <w:pPr>
        <w:ind w:right="49"/>
        <w:jc w:val="both"/>
        <w:rPr>
          <w:rFonts w:ascii="Aptos" w:hAnsi="Aptos"/>
          <w:b/>
          <w:bCs/>
          <w:sz w:val="24"/>
          <w:szCs w:val="24"/>
          <w:lang w:val="es-ES_tradnl"/>
        </w:rPr>
      </w:pPr>
      <w:r w:rsidRPr="005A2830">
        <w:rPr>
          <w:rFonts w:ascii="Aptos" w:hAnsi="Aptos"/>
          <w:b/>
          <w:bCs/>
          <w:sz w:val="24"/>
          <w:szCs w:val="24"/>
          <w:lang w:val="es-ES_tradnl"/>
        </w:rPr>
        <w:t>Artículo 19</w:t>
      </w:r>
      <w:r w:rsidR="005A2830" w:rsidRPr="005A2830">
        <w:rPr>
          <w:rFonts w:ascii="Aptos" w:hAnsi="Aptos"/>
          <w:b/>
          <w:bCs/>
          <w:sz w:val="24"/>
          <w:szCs w:val="24"/>
          <w:lang w:val="es-ES_tradnl"/>
        </w:rPr>
        <w:t xml:space="preserve">. </w:t>
      </w:r>
      <w:r w:rsidRPr="005A2830">
        <w:rPr>
          <w:rFonts w:ascii="Aptos" w:hAnsi="Aptos"/>
          <w:sz w:val="24"/>
          <w:szCs w:val="24"/>
          <w:lang w:val="es-ES_tradnl"/>
        </w:rPr>
        <w:t>Respecto a la inclusión de parágrafo en artículo 19. Teniendo en cuenta la dinámica actual para la postulación de proyectos a incentivos tributarios contemplados en leyes 1715 de 2014 y 2099 de 2021, a las cuales se realiza la evaluación técnica de la solicitud por parte de la UPME, se sugiere realizar revisión del artículo e indicar la entidad responsable de la evaluación de las solicitudes para incentivos de proyectos que comprenden inversiones en infraestructura para la desalinización de agua de mar, el tratamiento y la reutilización de aguas residuales, y la implementación de sistemas de economía circular hídrica para sus procesos.</w:t>
      </w:r>
    </w:p>
    <w:p w14:paraId="58F2BE82" w14:textId="0A1575CE" w:rsidR="002C4A3D" w:rsidRPr="005A2830" w:rsidRDefault="002C4A3D" w:rsidP="002C4A3D">
      <w:pPr>
        <w:ind w:right="49"/>
        <w:jc w:val="both"/>
        <w:rPr>
          <w:rFonts w:ascii="Aptos" w:hAnsi="Aptos"/>
          <w:b/>
          <w:bCs/>
          <w:sz w:val="24"/>
          <w:szCs w:val="24"/>
          <w:lang w:val="es-ES_tradnl"/>
        </w:rPr>
      </w:pPr>
      <w:r w:rsidRPr="005A2830">
        <w:rPr>
          <w:rFonts w:ascii="Aptos" w:hAnsi="Aptos"/>
          <w:b/>
          <w:bCs/>
          <w:sz w:val="24"/>
          <w:szCs w:val="24"/>
          <w:lang w:val="es-ES_tradnl"/>
        </w:rPr>
        <w:t>Artículo 23</w:t>
      </w:r>
      <w:r w:rsidR="005A2830" w:rsidRPr="005A2830">
        <w:rPr>
          <w:rFonts w:ascii="Aptos" w:hAnsi="Aptos"/>
          <w:b/>
          <w:bCs/>
          <w:sz w:val="24"/>
          <w:szCs w:val="24"/>
          <w:lang w:val="es-ES_tradnl"/>
        </w:rPr>
        <w:t xml:space="preserve">. </w:t>
      </w:r>
      <w:r w:rsidRPr="005A2830">
        <w:rPr>
          <w:rFonts w:ascii="Aptos" w:hAnsi="Aptos"/>
          <w:sz w:val="24"/>
          <w:szCs w:val="24"/>
          <w:lang w:val="es-ES_tradnl"/>
        </w:rPr>
        <w:t xml:space="preserve">Desde el Ministerio de Minas y Energía se sugiere ajustar la redacción del artículo. El Proyecto de Ley plantea la creación de un </w:t>
      </w:r>
      <w:proofErr w:type="spellStart"/>
      <w:r w:rsidRPr="005A2830">
        <w:rPr>
          <w:rFonts w:ascii="Aptos" w:hAnsi="Aptos"/>
          <w:sz w:val="24"/>
          <w:szCs w:val="24"/>
          <w:lang w:val="es-ES_tradnl"/>
        </w:rPr>
        <w:t>sandbox</w:t>
      </w:r>
      <w:proofErr w:type="spellEnd"/>
      <w:r w:rsidRPr="005A2830">
        <w:rPr>
          <w:rFonts w:ascii="Aptos" w:hAnsi="Aptos"/>
          <w:sz w:val="24"/>
          <w:szCs w:val="24"/>
          <w:lang w:val="es-ES_tradnl"/>
        </w:rPr>
        <w:t xml:space="preserve"> específico para hidrógeno; sin embargo, consideramos que esta medida podría generar demoras innecesarias. El mecanismo de </w:t>
      </w:r>
      <w:proofErr w:type="spellStart"/>
      <w:r w:rsidRPr="005A2830">
        <w:rPr>
          <w:rFonts w:ascii="Aptos" w:hAnsi="Aptos"/>
          <w:sz w:val="24"/>
          <w:szCs w:val="24"/>
          <w:lang w:val="es-ES_tradnl"/>
        </w:rPr>
        <w:t>sandbox</w:t>
      </w:r>
      <w:proofErr w:type="spellEnd"/>
      <w:r w:rsidRPr="005A2830">
        <w:rPr>
          <w:rFonts w:ascii="Aptos" w:hAnsi="Aptos"/>
          <w:sz w:val="24"/>
          <w:szCs w:val="24"/>
          <w:lang w:val="es-ES_tradnl"/>
        </w:rPr>
        <w:t xml:space="preserve"> ya existe y está vigente, y de acuerdo con las mesas de trabajo sostenidas con DNP y el Ministerio de Comercio, así como con la industria, los proyectos de hidrógeno pueden acogerse a este esquema sin inconveniente. Por tanto, sugerimos eliminar del Proyecto de Ley la referencia a la creación de un nuevo </w:t>
      </w:r>
      <w:proofErr w:type="spellStart"/>
      <w:r w:rsidRPr="005A2830">
        <w:rPr>
          <w:rFonts w:ascii="Aptos" w:hAnsi="Aptos"/>
          <w:sz w:val="24"/>
          <w:szCs w:val="24"/>
          <w:lang w:val="es-ES_tradnl"/>
        </w:rPr>
        <w:t>sandbox</w:t>
      </w:r>
      <w:proofErr w:type="spellEnd"/>
      <w:r w:rsidRPr="005A2830">
        <w:rPr>
          <w:rFonts w:ascii="Aptos" w:hAnsi="Aptos"/>
          <w:sz w:val="24"/>
          <w:szCs w:val="24"/>
          <w:lang w:val="es-ES_tradnl"/>
        </w:rPr>
        <w:t xml:space="preserve">, a fin de evitar duplicidades y agilizar la implementación de este instrumento. Teniendo en cuenta el </w:t>
      </w:r>
      <w:r w:rsidRPr="005A2830">
        <w:rPr>
          <w:rFonts w:ascii="Aptos" w:hAnsi="Aptos"/>
          <w:sz w:val="24"/>
          <w:szCs w:val="24"/>
          <w:lang w:val="es-ES_tradnl"/>
        </w:rPr>
        <w:lastRenderedPageBreak/>
        <w:t xml:space="preserve">funcionamiento actual del comité de entornos más competitivos, y la necesidad de garantizar la integración de instancia existente con propuesta de </w:t>
      </w:r>
      <w:proofErr w:type="spellStart"/>
      <w:r w:rsidRPr="005A2830">
        <w:rPr>
          <w:rFonts w:ascii="Aptos" w:hAnsi="Aptos"/>
          <w:sz w:val="24"/>
          <w:szCs w:val="24"/>
          <w:lang w:val="es-ES_tradnl"/>
        </w:rPr>
        <w:t>sandbox</w:t>
      </w:r>
      <w:proofErr w:type="spellEnd"/>
      <w:r w:rsidRPr="005A2830">
        <w:rPr>
          <w:rFonts w:ascii="Aptos" w:hAnsi="Aptos"/>
          <w:sz w:val="24"/>
          <w:szCs w:val="24"/>
          <w:lang w:val="es-ES_tradnl"/>
        </w:rPr>
        <w:t xml:space="preserve"> regulatorio consignada en artículo 23.</w:t>
      </w:r>
      <w:r w:rsidRPr="005A2830">
        <w:rPr>
          <w:rFonts w:ascii="Aptos" w:hAnsi="Aptos"/>
          <w:b/>
          <w:bCs/>
          <w:sz w:val="24"/>
          <w:szCs w:val="24"/>
          <w:lang w:val="es-ES_tradnl"/>
        </w:rPr>
        <w:t xml:space="preserve"> </w:t>
      </w:r>
    </w:p>
    <w:p w14:paraId="73837763" w14:textId="7171A87D" w:rsidR="002C4A3D" w:rsidRPr="000E5912" w:rsidRDefault="000E5912" w:rsidP="002C4A3D">
      <w:pPr>
        <w:ind w:right="49"/>
        <w:jc w:val="both"/>
        <w:rPr>
          <w:rFonts w:ascii="Aptos" w:hAnsi="Aptos"/>
          <w:sz w:val="24"/>
          <w:szCs w:val="24"/>
          <w:lang w:val="es-ES_tradnl"/>
        </w:rPr>
      </w:pPr>
      <w:r w:rsidRPr="000E5912">
        <w:rPr>
          <w:rFonts w:ascii="Aptos" w:hAnsi="Aptos"/>
          <w:sz w:val="24"/>
          <w:szCs w:val="24"/>
          <w:lang w:val="es-ES_tradnl"/>
        </w:rPr>
        <w:t>A lo anterior se considera la siguiente r</w:t>
      </w:r>
      <w:r w:rsidR="002C4A3D" w:rsidRPr="000E5912">
        <w:rPr>
          <w:rFonts w:ascii="Aptos" w:hAnsi="Aptos"/>
          <w:sz w:val="24"/>
          <w:szCs w:val="24"/>
          <w:lang w:val="es-ES_tradnl"/>
        </w:rPr>
        <w:t>edacción alternativa:</w:t>
      </w:r>
    </w:p>
    <w:p w14:paraId="7094B793" w14:textId="769B5F1D" w:rsidR="002C4A3D" w:rsidRPr="000E5912" w:rsidRDefault="000E5912" w:rsidP="000E5912">
      <w:pPr>
        <w:pStyle w:val="Prrafodelista"/>
        <w:ind w:right="49"/>
        <w:jc w:val="both"/>
        <w:rPr>
          <w:rFonts w:ascii="Aptos" w:hAnsi="Aptos"/>
          <w:i/>
          <w:iCs/>
          <w:sz w:val="24"/>
          <w:szCs w:val="24"/>
          <w:lang w:val="es-ES_tradnl"/>
        </w:rPr>
      </w:pPr>
      <w:r w:rsidRPr="000E5912">
        <w:rPr>
          <w:rFonts w:ascii="Aptos" w:hAnsi="Aptos"/>
          <w:b/>
          <w:bCs/>
          <w:i/>
          <w:iCs/>
          <w:sz w:val="24"/>
          <w:szCs w:val="24"/>
          <w:lang w:val="es-ES_tradnl"/>
        </w:rPr>
        <w:t>Artículo 23.</w:t>
      </w:r>
      <w:r>
        <w:rPr>
          <w:rFonts w:ascii="Aptos" w:hAnsi="Aptos"/>
          <w:i/>
          <w:iCs/>
          <w:sz w:val="24"/>
          <w:szCs w:val="24"/>
          <w:lang w:val="es-ES_tradnl"/>
        </w:rPr>
        <w:t xml:space="preserve"> </w:t>
      </w:r>
      <w:r w:rsidR="002C4A3D" w:rsidRPr="000E5912">
        <w:rPr>
          <w:rFonts w:ascii="Aptos" w:hAnsi="Aptos"/>
          <w:i/>
          <w:iCs/>
          <w:sz w:val="24"/>
          <w:szCs w:val="24"/>
          <w:lang w:val="es-ES_tradnl"/>
        </w:rPr>
        <w:t xml:space="preserve">El Ministerio de Minas y Energía participará en el Comité de Entornos Más Competitivos, coordinado por el Departamento Nacional de Planeación (DNP), a través de un equipo técnico multidisciplinario conformado por representantes del propio Ministerio, expertos en hidrógeno y delegados de entidades ambientales competentes. </w:t>
      </w:r>
    </w:p>
    <w:p w14:paraId="3D47D9FD" w14:textId="77777777" w:rsidR="000E5912" w:rsidRDefault="000E5912" w:rsidP="000E5912">
      <w:pPr>
        <w:pStyle w:val="Prrafodelista"/>
        <w:ind w:right="49"/>
        <w:jc w:val="both"/>
        <w:rPr>
          <w:rFonts w:ascii="Aptos" w:hAnsi="Aptos"/>
          <w:i/>
          <w:iCs/>
          <w:sz w:val="24"/>
          <w:szCs w:val="24"/>
          <w:lang w:val="es-ES_tradnl"/>
        </w:rPr>
      </w:pPr>
    </w:p>
    <w:p w14:paraId="62648A73" w14:textId="70A6779E" w:rsidR="002C4A3D" w:rsidRPr="000E5912" w:rsidRDefault="002C4A3D" w:rsidP="000E5912">
      <w:pPr>
        <w:pStyle w:val="Prrafodelista"/>
        <w:ind w:right="49"/>
        <w:jc w:val="both"/>
        <w:rPr>
          <w:rFonts w:ascii="Aptos" w:hAnsi="Aptos"/>
          <w:i/>
          <w:iCs/>
          <w:sz w:val="24"/>
          <w:szCs w:val="24"/>
          <w:lang w:val="es-ES_tradnl"/>
        </w:rPr>
      </w:pPr>
      <w:r w:rsidRPr="000E5912">
        <w:rPr>
          <w:rFonts w:ascii="Aptos" w:hAnsi="Aptos"/>
          <w:i/>
          <w:iCs/>
          <w:sz w:val="24"/>
          <w:szCs w:val="24"/>
          <w:lang w:val="es-ES_tradnl"/>
        </w:rPr>
        <w:t xml:space="preserve">Dicho equipo tendrá a su cargo la evaluación técnica y sectorial de las iniciativas de hidrógeno que se presenten en el marco del </w:t>
      </w:r>
      <w:proofErr w:type="spellStart"/>
      <w:r w:rsidRPr="000E5912">
        <w:rPr>
          <w:rFonts w:ascii="Aptos" w:hAnsi="Aptos"/>
          <w:i/>
          <w:iCs/>
          <w:sz w:val="24"/>
          <w:szCs w:val="24"/>
          <w:lang w:val="es-ES_tradnl"/>
        </w:rPr>
        <w:t>sandbox</w:t>
      </w:r>
      <w:proofErr w:type="spellEnd"/>
      <w:r w:rsidRPr="000E5912">
        <w:rPr>
          <w:rFonts w:ascii="Aptos" w:hAnsi="Aptos"/>
          <w:i/>
          <w:iCs/>
          <w:sz w:val="24"/>
          <w:szCs w:val="24"/>
          <w:lang w:val="es-ES_tradnl"/>
        </w:rPr>
        <w:t xml:space="preserve"> regulatorio, conforme a la normatividad vigente, garantizando la articulación interinstitucional y la coherencia con los lineamientos de política pública y competitividad energética del país. </w:t>
      </w:r>
    </w:p>
    <w:p w14:paraId="475A37A2" w14:textId="77777777" w:rsidR="000E5912" w:rsidRDefault="000E5912" w:rsidP="000E5912">
      <w:pPr>
        <w:pStyle w:val="Prrafodelista"/>
        <w:ind w:right="49"/>
        <w:jc w:val="both"/>
        <w:rPr>
          <w:rFonts w:ascii="Aptos" w:hAnsi="Aptos"/>
          <w:i/>
          <w:iCs/>
          <w:sz w:val="24"/>
          <w:szCs w:val="24"/>
          <w:lang w:val="es-ES_tradnl"/>
        </w:rPr>
      </w:pPr>
    </w:p>
    <w:p w14:paraId="7F82B81F" w14:textId="29D40F43" w:rsidR="002C4A3D" w:rsidRPr="000E5912" w:rsidRDefault="002C4A3D" w:rsidP="000E5912">
      <w:pPr>
        <w:pStyle w:val="Prrafodelista"/>
        <w:ind w:right="49"/>
        <w:jc w:val="both"/>
        <w:rPr>
          <w:rFonts w:ascii="Aptos" w:hAnsi="Aptos"/>
          <w:i/>
          <w:iCs/>
          <w:sz w:val="24"/>
          <w:szCs w:val="24"/>
          <w:lang w:val="es-ES_tradnl"/>
        </w:rPr>
      </w:pPr>
      <w:r w:rsidRPr="000E5912">
        <w:rPr>
          <w:rFonts w:ascii="Aptos" w:hAnsi="Aptos"/>
          <w:i/>
          <w:iCs/>
          <w:sz w:val="24"/>
          <w:szCs w:val="24"/>
          <w:lang w:val="es-ES_tradnl"/>
        </w:rPr>
        <w:t xml:space="preserve">Parágrafo: Gastos de funcionamiento. Los gastos que se generen derivados del funcionamiento del equipo técnico serán asumidos por cada una de las entidades que integran este equipo, en desarrollo de sus funciones específicas y quedarán sujetos a las disponibilidades existentes en cada uno de sus presupuestos.   </w:t>
      </w:r>
    </w:p>
    <w:p w14:paraId="77BF21B2" w14:textId="77777777" w:rsidR="002C4A3D" w:rsidRPr="005A2830" w:rsidRDefault="002C4A3D" w:rsidP="00B810CB">
      <w:pPr>
        <w:ind w:right="49"/>
        <w:jc w:val="both"/>
        <w:rPr>
          <w:rFonts w:ascii="Aptos" w:hAnsi="Aptos"/>
          <w:b/>
          <w:bCs/>
          <w:sz w:val="24"/>
          <w:szCs w:val="24"/>
          <w:lang w:val="es-ES_tradnl"/>
        </w:rPr>
      </w:pPr>
    </w:p>
    <w:p w14:paraId="7FC2972E" w14:textId="1E038869" w:rsidR="00B810CB" w:rsidRPr="00561887" w:rsidRDefault="000E5912" w:rsidP="00B810CB">
      <w:pPr>
        <w:pStyle w:val="Prrafodelista"/>
        <w:numPr>
          <w:ilvl w:val="0"/>
          <w:numId w:val="3"/>
        </w:numPr>
        <w:ind w:right="49"/>
        <w:jc w:val="both"/>
        <w:rPr>
          <w:rFonts w:ascii="Aptos" w:hAnsi="Aptos"/>
          <w:b/>
          <w:bCs/>
          <w:sz w:val="24"/>
          <w:szCs w:val="24"/>
          <w:lang w:val="es-ES_tradnl"/>
        </w:rPr>
      </w:pPr>
      <w:r>
        <w:rPr>
          <w:rFonts w:ascii="Aptos" w:hAnsi="Aptos"/>
          <w:b/>
          <w:bCs/>
          <w:sz w:val="24"/>
          <w:szCs w:val="24"/>
          <w:lang w:val="es-ES_tradnl"/>
        </w:rPr>
        <w:t xml:space="preserve">Pliego de sugerencias modificatorias al contenido del </w:t>
      </w:r>
      <w:r w:rsidR="00561887">
        <w:rPr>
          <w:rFonts w:ascii="Aptos" w:hAnsi="Aptos"/>
          <w:b/>
          <w:bCs/>
          <w:sz w:val="24"/>
          <w:szCs w:val="24"/>
          <w:lang w:val="es-ES_tradnl"/>
        </w:rPr>
        <w:t>articulado</w:t>
      </w:r>
      <w:r>
        <w:rPr>
          <w:rFonts w:ascii="Aptos" w:hAnsi="Aptos"/>
          <w:b/>
          <w:bCs/>
          <w:sz w:val="24"/>
          <w:szCs w:val="24"/>
          <w:lang w:val="es-ES_tradnl"/>
        </w:rPr>
        <w:t xml:space="preserve">: </w:t>
      </w:r>
    </w:p>
    <w:tbl>
      <w:tblPr>
        <w:tblStyle w:val="Tablaconcuadrcula"/>
        <w:tblW w:w="11902" w:type="dxa"/>
        <w:jc w:val="center"/>
        <w:tblLook w:val="04A0" w:firstRow="1" w:lastRow="0" w:firstColumn="1" w:lastColumn="0" w:noHBand="0" w:noVBand="1"/>
      </w:tblPr>
      <w:tblGrid>
        <w:gridCol w:w="1016"/>
        <w:gridCol w:w="7484"/>
        <w:gridCol w:w="3402"/>
      </w:tblGrid>
      <w:tr w:rsidR="00B810CB" w:rsidRPr="00AD5078" w14:paraId="14980418" w14:textId="77777777" w:rsidTr="004C741C">
        <w:trPr>
          <w:trHeight w:val="818"/>
          <w:jc w:val="center"/>
        </w:trPr>
        <w:tc>
          <w:tcPr>
            <w:tcW w:w="1016" w:type="dxa"/>
          </w:tcPr>
          <w:p w14:paraId="47F9B5E2" w14:textId="77777777" w:rsidR="00B810CB" w:rsidRPr="00AD5078" w:rsidRDefault="00B810CB" w:rsidP="004C741C">
            <w:pPr>
              <w:jc w:val="center"/>
              <w:rPr>
                <w:rFonts w:ascii="Aptos" w:eastAsia="Times New Roman" w:hAnsi="Aptos" w:cs="Times New Roman"/>
                <w:b/>
                <w:bCs/>
                <w:sz w:val="24"/>
                <w:szCs w:val="24"/>
                <w:lang w:val="es-ES_tradnl"/>
              </w:rPr>
            </w:pPr>
            <w:r w:rsidRPr="00AD5078">
              <w:rPr>
                <w:rFonts w:ascii="Aptos" w:eastAsia="Times New Roman" w:hAnsi="Aptos" w:cs="Times New Roman"/>
                <w:b/>
                <w:bCs/>
                <w:sz w:val="24"/>
                <w:szCs w:val="24"/>
                <w:lang w:val="es-ES_tradnl"/>
              </w:rPr>
              <w:t>N.º de artículo</w:t>
            </w:r>
          </w:p>
        </w:tc>
        <w:tc>
          <w:tcPr>
            <w:tcW w:w="7484" w:type="dxa"/>
          </w:tcPr>
          <w:p w14:paraId="51C36A8E" w14:textId="77777777" w:rsidR="00B810CB" w:rsidRPr="00AD5078" w:rsidRDefault="00B810CB" w:rsidP="004C741C">
            <w:pPr>
              <w:jc w:val="center"/>
              <w:rPr>
                <w:rFonts w:ascii="Aptos" w:eastAsia="Times New Roman" w:hAnsi="Aptos" w:cs="Times New Roman"/>
                <w:b/>
                <w:bCs/>
                <w:sz w:val="24"/>
                <w:szCs w:val="24"/>
                <w:lang w:val="es-ES_tradnl"/>
              </w:rPr>
            </w:pPr>
            <w:r w:rsidRPr="00AD5078">
              <w:rPr>
                <w:rFonts w:ascii="Aptos" w:eastAsia="Times New Roman" w:hAnsi="Aptos" w:cs="Times New Roman"/>
                <w:b/>
                <w:bCs/>
                <w:sz w:val="24"/>
                <w:szCs w:val="24"/>
                <w:lang w:val="es-ES_tradnl"/>
              </w:rPr>
              <w:t>Articulado propuesto</w:t>
            </w:r>
          </w:p>
        </w:tc>
        <w:tc>
          <w:tcPr>
            <w:tcW w:w="3402" w:type="dxa"/>
          </w:tcPr>
          <w:p w14:paraId="50DBA00D" w14:textId="77777777" w:rsidR="00B810CB" w:rsidRPr="00AD5078" w:rsidRDefault="00B810CB" w:rsidP="004C741C">
            <w:pPr>
              <w:jc w:val="center"/>
              <w:rPr>
                <w:rFonts w:ascii="Aptos" w:eastAsia="Times New Roman" w:hAnsi="Aptos" w:cs="Times New Roman"/>
                <w:b/>
                <w:bCs/>
                <w:sz w:val="24"/>
                <w:szCs w:val="24"/>
                <w:lang w:val="es-ES_tradnl"/>
              </w:rPr>
            </w:pPr>
            <w:r w:rsidRPr="00AD5078">
              <w:rPr>
                <w:rFonts w:ascii="Aptos" w:eastAsia="Times New Roman" w:hAnsi="Aptos" w:cs="Times New Roman"/>
                <w:b/>
                <w:bCs/>
                <w:sz w:val="24"/>
                <w:szCs w:val="24"/>
                <w:lang w:val="es-ES_tradnl"/>
              </w:rPr>
              <w:t>Observaciones Ministerio de Minas y Energía</w:t>
            </w:r>
          </w:p>
        </w:tc>
      </w:tr>
      <w:tr w:rsidR="00B810CB" w:rsidRPr="00AD5078" w14:paraId="3D21D2CF" w14:textId="77777777" w:rsidTr="004C741C">
        <w:trPr>
          <w:trHeight w:val="303"/>
          <w:jc w:val="center"/>
        </w:trPr>
        <w:tc>
          <w:tcPr>
            <w:tcW w:w="1016" w:type="dxa"/>
          </w:tcPr>
          <w:p w14:paraId="26E1B961" w14:textId="77777777" w:rsidR="00B810CB" w:rsidRPr="00AD5078" w:rsidRDefault="00B810CB" w:rsidP="004C741C">
            <w:pPr>
              <w:jc w:val="both"/>
              <w:rPr>
                <w:rFonts w:ascii="Aptos" w:eastAsia="Times New Roman" w:hAnsi="Aptos" w:cs="Times New Roman"/>
                <w:b/>
                <w:bCs/>
                <w:sz w:val="24"/>
                <w:szCs w:val="24"/>
                <w:lang w:val="es-ES_tradnl"/>
              </w:rPr>
            </w:pPr>
          </w:p>
          <w:p w14:paraId="3C917B9B" w14:textId="77777777" w:rsidR="00B810CB" w:rsidRPr="00AD5078" w:rsidRDefault="00B810CB" w:rsidP="004C741C">
            <w:pPr>
              <w:jc w:val="both"/>
              <w:rPr>
                <w:rFonts w:ascii="Aptos" w:eastAsia="Times New Roman" w:hAnsi="Aptos" w:cs="Times New Roman"/>
                <w:b/>
                <w:bCs/>
                <w:sz w:val="24"/>
                <w:szCs w:val="24"/>
                <w:lang w:val="es-ES_tradnl"/>
              </w:rPr>
            </w:pPr>
            <w:r w:rsidRPr="00AD5078">
              <w:rPr>
                <w:rFonts w:ascii="Aptos" w:eastAsia="Times New Roman" w:hAnsi="Aptos" w:cs="Times New Roman"/>
                <w:b/>
                <w:bCs/>
                <w:sz w:val="24"/>
                <w:szCs w:val="24"/>
                <w:lang w:val="es-ES_tradnl"/>
              </w:rPr>
              <w:t>1</w:t>
            </w:r>
          </w:p>
        </w:tc>
        <w:tc>
          <w:tcPr>
            <w:tcW w:w="7484" w:type="dxa"/>
          </w:tcPr>
          <w:p w14:paraId="343FBA15" w14:textId="77777777" w:rsidR="00B810CB" w:rsidRPr="00AD5078" w:rsidRDefault="00B810CB" w:rsidP="004C741C">
            <w:pPr>
              <w:jc w:val="both"/>
              <w:rPr>
                <w:rFonts w:ascii="Aptos" w:eastAsia="Times New Roman" w:hAnsi="Aptos" w:cs="Times New Roman"/>
                <w:sz w:val="24"/>
                <w:szCs w:val="24"/>
                <w:lang w:val="es-ES_tradnl"/>
              </w:rPr>
            </w:pPr>
            <w:r w:rsidRPr="00AD5078">
              <w:rPr>
                <w:rFonts w:ascii="Aptos" w:eastAsia="Times New Roman" w:hAnsi="Aptos" w:cs="Times New Roman"/>
                <w:sz w:val="24"/>
                <w:szCs w:val="24"/>
                <w:lang w:val="es-ES_tradnl"/>
              </w:rPr>
              <w:t xml:space="preserve">Objeto. La presente ley tiene por objeto promover e incentivar el desarrollo del hidrógeno y sus derivados en Colombia, estableciendo como prioridad el impulso del hidrógeno de bajas emisiones, para garantizar su producción, extracción, almacenamiento, transporte, comercialización, usos y exportación con el fin de contribuir al cumplimento de los objetivos de desarrollo sostenible, afianzar la descarbonización de </w:t>
            </w:r>
            <w:r w:rsidRPr="00AD5078">
              <w:rPr>
                <w:rFonts w:ascii="Aptos" w:eastAsia="Times New Roman" w:hAnsi="Aptos" w:cs="Times New Roman"/>
                <w:sz w:val="24"/>
                <w:szCs w:val="24"/>
                <w:lang w:val="es-ES_tradnl"/>
              </w:rPr>
              <w:lastRenderedPageBreak/>
              <w:t xml:space="preserve">nuestra economía, consolidar sistemas energéticos limpios dedicados, híbridos y </w:t>
            </w:r>
            <w:proofErr w:type="spellStart"/>
            <w:r w:rsidRPr="00AD5078">
              <w:rPr>
                <w:rFonts w:ascii="Aptos" w:eastAsia="Times New Roman" w:hAnsi="Aptos" w:cs="Times New Roman"/>
                <w:sz w:val="24"/>
                <w:szCs w:val="24"/>
                <w:lang w:val="es-ES_tradnl"/>
              </w:rPr>
              <w:t>multifluido</w:t>
            </w:r>
            <w:proofErr w:type="spellEnd"/>
            <w:r w:rsidRPr="00AD5078">
              <w:rPr>
                <w:rFonts w:ascii="Aptos" w:eastAsia="Times New Roman" w:hAnsi="Aptos" w:cs="Times New Roman"/>
                <w:sz w:val="24"/>
                <w:szCs w:val="24"/>
                <w:lang w:val="es-ES_tradnl"/>
              </w:rPr>
              <w:t>; fomentar comunidades energéticas, fortalecer la transición, la seguridad y soberanía energética en el país y propender desde los usos del hidrógeno por la seguridad y la soberanía alimentaria nacional.</w:t>
            </w:r>
          </w:p>
        </w:tc>
        <w:tc>
          <w:tcPr>
            <w:tcW w:w="3402" w:type="dxa"/>
          </w:tcPr>
          <w:p w14:paraId="0BD28A21" w14:textId="77777777" w:rsidR="00B810CB" w:rsidRPr="00AD5078" w:rsidRDefault="00B810CB" w:rsidP="004C741C">
            <w:pPr>
              <w:jc w:val="both"/>
              <w:rPr>
                <w:rFonts w:ascii="Aptos" w:eastAsia="Times New Roman" w:hAnsi="Aptos" w:cs="Times New Roman"/>
                <w:sz w:val="24"/>
                <w:szCs w:val="24"/>
                <w:lang w:val="es-ES_tradnl"/>
              </w:rPr>
            </w:pPr>
            <w:r w:rsidRPr="00AD5078">
              <w:rPr>
                <w:rFonts w:ascii="Aptos" w:eastAsia="Times New Roman" w:hAnsi="Aptos" w:cs="Times New Roman"/>
                <w:sz w:val="24"/>
                <w:szCs w:val="24"/>
                <w:lang w:val="es-ES_tradnl"/>
              </w:rPr>
              <w:lastRenderedPageBreak/>
              <w:t>Sin modificaciones</w:t>
            </w:r>
          </w:p>
          <w:p w14:paraId="2709C6F1" w14:textId="77777777" w:rsidR="00B810CB" w:rsidRPr="00AD5078" w:rsidRDefault="00B810CB" w:rsidP="004C741C">
            <w:pPr>
              <w:jc w:val="both"/>
              <w:rPr>
                <w:rFonts w:ascii="Aptos" w:eastAsia="Times New Roman" w:hAnsi="Aptos" w:cs="Times New Roman"/>
                <w:sz w:val="24"/>
                <w:szCs w:val="24"/>
                <w:lang w:val="es-ES_tradnl"/>
              </w:rPr>
            </w:pPr>
          </w:p>
        </w:tc>
      </w:tr>
      <w:tr w:rsidR="00B810CB" w:rsidRPr="00AD5078" w14:paraId="254E3030" w14:textId="77777777" w:rsidTr="004C741C">
        <w:trPr>
          <w:trHeight w:val="321"/>
          <w:jc w:val="center"/>
        </w:trPr>
        <w:tc>
          <w:tcPr>
            <w:tcW w:w="1016" w:type="dxa"/>
          </w:tcPr>
          <w:p w14:paraId="55A11F12" w14:textId="77777777" w:rsidR="00B810CB" w:rsidRPr="00AD5078" w:rsidRDefault="00B810CB" w:rsidP="004C741C">
            <w:pPr>
              <w:jc w:val="both"/>
              <w:rPr>
                <w:rFonts w:ascii="Aptos" w:eastAsia="Times New Roman" w:hAnsi="Aptos" w:cs="Times New Roman"/>
                <w:b/>
                <w:bCs/>
                <w:sz w:val="24"/>
                <w:szCs w:val="24"/>
                <w:lang w:val="es-ES_tradnl"/>
              </w:rPr>
            </w:pPr>
            <w:r w:rsidRPr="00AD5078">
              <w:rPr>
                <w:rFonts w:ascii="Aptos" w:eastAsia="Times New Roman" w:hAnsi="Aptos" w:cs="Times New Roman"/>
                <w:b/>
                <w:bCs/>
                <w:sz w:val="24"/>
                <w:szCs w:val="24"/>
                <w:lang w:val="es-ES_tradnl"/>
              </w:rPr>
              <w:t>2</w:t>
            </w:r>
          </w:p>
        </w:tc>
        <w:tc>
          <w:tcPr>
            <w:tcW w:w="7484" w:type="dxa"/>
          </w:tcPr>
          <w:p w14:paraId="2131E782" w14:textId="77777777" w:rsidR="00B810CB" w:rsidRPr="00AD5078" w:rsidRDefault="00B810CB" w:rsidP="004C741C">
            <w:pPr>
              <w:jc w:val="both"/>
              <w:rPr>
                <w:rFonts w:ascii="Aptos" w:eastAsia="Times New Roman" w:hAnsi="Aptos" w:cs="Times New Roman"/>
                <w:sz w:val="24"/>
                <w:szCs w:val="24"/>
                <w:lang w:val="es-ES_tradnl"/>
              </w:rPr>
            </w:pPr>
            <w:r w:rsidRPr="00AD5078">
              <w:rPr>
                <w:rFonts w:ascii="Aptos" w:eastAsia="Times New Roman" w:hAnsi="Aptos" w:cs="Times New Roman"/>
                <w:sz w:val="24"/>
                <w:szCs w:val="24"/>
                <w:lang w:val="es-ES_tradnl"/>
              </w:rPr>
              <w:t xml:space="preserve">Definiciones. </w:t>
            </w:r>
          </w:p>
          <w:p w14:paraId="128B2445" w14:textId="77777777" w:rsidR="00B810CB" w:rsidRPr="00AD5078" w:rsidRDefault="00B810CB" w:rsidP="004C741C">
            <w:pPr>
              <w:jc w:val="both"/>
              <w:rPr>
                <w:rFonts w:ascii="Aptos" w:eastAsia="Times New Roman" w:hAnsi="Aptos" w:cs="Times New Roman"/>
                <w:sz w:val="24"/>
                <w:szCs w:val="24"/>
                <w:lang w:val="es-ES_tradnl"/>
              </w:rPr>
            </w:pPr>
          </w:p>
          <w:p w14:paraId="7EFB2DD3" w14:textId="77777777" w:rsidR="00B810CB" w:rsidRPr="00AD5078" w:rsidRDefault="00B810CB" w:rsidP="004C741C">
            <w:pPr>
              <w:spacing w:after="0" w:line="240" w:lineRule="auto"/>
              <w:jc w:val="both"/>
              <w:rPr>
                <w:rFonts w:ascii="Aptos" w:eastAsia="Times New Roman" w:hAnsi="Aptos" w:cs="Times New Roman"/>
                <w:sz w:val="24"/>
                <w:szCs w:val="24"/>
                <w:lang w:val="es-ES_tradnl"/>
              </w:rPr>
            </w:pPr>
            <w:r w:rsidRPr="00AD5078">
              <w:rPr>
                <w:rFonts w:ascii="Aptos" w:eastAsia="Times New Roman" w:hAnsi="Aptos" w:cs="Times New Roman"/>
                <w:sz w:val="24"/>
                <w:szCs w:val="24"/>
                <w:lang w:val="es-ES_tradnl"/>
              </w:rPr>
              <w:t>Para la interpretación y aplicación de la presente ley, se tendrán en cuenta las siguientes definiciones:</w:t>
            </w:r>
          </w:p>
          <w:p w14:paraId="0519F1CA" w14:textId="77777777" w:rsidR="00B810CB" w:rsidRPr="00AD5078" w:rsidRDefault="00B810CB" w:rsidP="004C741C">
            <w:pPr>
              <w:spacing w:after="0" w:line="240" w:lineRule="auto"/>
              <w:jc w:val="both"/>
              <w:rPr>
                <w:rFonts w:ascii="Aptos" w:eastAsia="Times New Roman" w:hAnsi="Aptos" w:cs="Times New Roman"/>
                <w:sz w:val="24"/>
                <w:szCs w:val="24"/>
                <w:lang w:val="es-ES_tradnl"/>
              </w:rPr>
            </w:pPr>
          </w:p>
          <w:p w14:paraId="4F5D88DB" w14:textId="77777777" w:rsidR="00B810CB" w:rsidRPr="00AD5078" w:rsidRDefault="00B810CB" w:rsidP="004C741C">
            <w:pPr>
              <w:spacing w:after="0" w:line="240" w:lineRule="auto"/>
              <w:jc w:val="both"/>
              <w:rPr>
                <w:rFonts w:ascii="Aptos" w:eastAsia="Times New Roman" w:hAnsi="Aptos" w:cs="Times New Roman"/>
                <w:sz w:val="24"/>
                <w:szCs w:val="24"/>
                <w:lang w:val="es-ES_tradnl"/>
              </w:rPr>
            </w:pPr>
            <w:r w:rsidRPr="00AD5078">
              <w:rPr>
                <w:rFonts w:ascii="Aptos" w:eastAsia="Times New Roman" w:hAnsi="Aptos" w:cs="Times New Roman"/>
                <w:b/>
                <w:bCs/>
                <w:sz w:val="24"/>
                <w:szCs w:val="24"/>
                <w:lang w:val="es-ES_tradnl"/>
              </w:rPr>
              <w:t>Agente de la Cadena de Valor del Hidrógeno:</w:t>
            </w:r>
            <w:r w:rsidRPr="00AD5078">
              <w:rPr>
                <w:rFonts w:ascii="Aptos" w:eastAsia="Times New Roman" w:hAnsi="Aptos" w:cs="Times New Roman"/>
                <w:sz w:val="24"/>
                <w:szCs w:val="24"/>
                <w:lang w:val="es-ES_tradnl"/>
              </w:rPr>
              <w:t xml:space="preserve"> Persona natural o jurídica que realiza una o varias de las siguientes actividades: producción, almacenamiento, acondicionamiento, transporte, distribución, comercialización, desarrollo tecnológico o uso final del hidrógeno y/o Derivados del Hidrogeno en el territorio nacional.</w:t>
            </w:r>
          </w:p>
          <w:p w14:paraId="5258156B" w14:textId="77777777" w:rsidR="00B810CB" w:rsidRPr="00AD5078" w:rsidRDefault="00B810CB" w:rsidP="004C741C">
            <w:pPr>
              <w:spacing w:after="0" w:line="240" w:lineRule="auto"/>
              <w:jc w:val="both"/>
              <w:rPr>
                <w:rFonts w:ascii="Aptos" w:eastAsia="Times New Roman" w:hAnsi="Aptos" w:cs="Times New Roman"/>
                <w:sz w:val="24"/>
                <w:szCs w:val="24"/>
                <w:lang w:val="es-ES_tradnl"/>
              </w:rPr>
            </w:pPr>
            <w:r w:rsidRPr="00AD5078">
              <w:rPr>
                <w:rFonts w:ascii="Aptos" w:eastAsia="Times New Roman" w:hAnsi="Aptos" w:cs="Times New Roman"/>
                <w:b/>
                <w:bCs/>
                <w:sz w:val="24"/>
                <w:szCs w:val="24"/>
                <w:lang w:val="es-ES_tradnl"/>
              </w:rPr>
              <w:t>Eficiencia Energética:</w:t>
            </w:r>
            <w:r w:rsidRPr="00AD5078">
              <w:rPr>
                <w:rFonts w:ascii="Aptos" w:eastAsia="Times New Roman" w:hAnsi="Aptos" w:cs="Times New Roman"/>
                <w:sz w:val="24"/>
                <w:szCs w:val="24"/>
                <w:lang w:val="es-ES_tradnl"/>
              </w:rPr>
              <w:t xml:space="preserve"> Es la relación entre la energía aprovechada y la total utilizada en cualquier proceso de la cadena energética, que busca ser maximizada a través de buenas prácticas de reconversión tecnológica o sustitución de combustibles. A través de la eficiencia energética, se busca obtener el mayor provecho de la energía, bien sea a partir del uso de una forma primaria de energía o durante cualquier actividad de producción, transformación, transporte, distribución y consumo de las diferentes formas de energía, dentro del marco del desarrollo sostenible y respetando la normatividad vigente sobre el ambiente y los recursos naturales renovables.</w:t>
            </w:r>
          </w:p>
          <w:p w14:paraId="183A9E3D" w14:textId="77777777" w:rsidR="00B810CB" w:rsidRPr="00AD5078" w:rsidRDefault="00B810CB" w:rsidP="004C741C">
            <w:pPr>
              <w:spacing w:after="0" w:line="240" w:lineRule="auto"/>
              <w:jc w:val="both"/>
              <w:rPr>
                <w:rFonts w:ascii="Aptos" w:eastAsia="Times New Roman" w:hAnsi="Aptos" w:cs="Times New Roman"/>
                <w:sz w:val="24"/>
                <w:szCs w:val="24"/>
                <w:lang w:val="es-ES_tradnl"/>
              </w:rPr>
            </w:pPr>
            <w:r w:rsidRPr="00AD5078">
              <w:rPr>
                <w:rFonts w:ascii="Aptos" w:eastAsia="Times New Roman" w:hAnsi="Aptos" w:cs="Times New Roman"/>
                <w:b/>
                <w:bCs/>
                <w:sz w:val="24"/>
                <w:szCs w:val="24"/>
                <w:lang w:val="es-ES_tradnl"/>
              </w:rPr>
              <w:t xml:space="preserve">Fertilizantes de bajas emisiones: </w:t>
            </w:r>
            <w:r w:rsidRPr="00AD5078">
              <w:rPr>
                <w:rFonts w:ascii="Aptos" w:eastAsia="Times New Roman" w:hAnsi="Aptos" w:cs="Times New Roman"/>
                <w:sz w:val="24"/>
                <w:szCs w:val="24"/>
                <w:lang w:val="es-ES_tradnl"/>
              </w:rPr>
              <w:t>son los fertilizantes de síntesis química producidos a partir de hidrógeno de bajas emisiones y CO2 proveniente de una fuente industrial o producido a partir de una fuente biogénica.</w:t>
            </w:r>
          </w:p>
          <w:p w14:paraId="1BD54103" w14:textId="77777777" w:rsidR="00B810CB" w:rsidRPr="00AD5078" w:rsidRDefault="00B810CB" w:rsidP="004C741C">
            <w:pPr>
              <w:spacing w:after="0" w:line="240" w:lineRule="auto"/>
              <w:jc w:val="both"/>
              <w:rPr>
                <w:rFonts w:ascii="Aptos" w:eastAsia="Times New Roman" w:hAnsi="Aptos" w:cs="Times New Roman"/>
                <w:sz w:val="24"/>
                <w:szCs w:val="24"/>
                <w:lang w:val="es-ES_tradnl"/>
              </w:rPr>
            </w:pPr>
            <w:r w:rsidRPr="00AD5078">
              <w:rPr>
                <w:rFonts w:ascii="Aptos" w:eastAsia="Times New Roman" w:hAnsi="Aptos" w:cs="Times New Roman"/>
                <w:b/>
                <w:bCs/>
                <w:sz w:val="24"/>
                <w:szCs w:val="24"/>
                <w:lang w:val="es-ES_tradnl"/>
              </w:rPr>
              <w:t xml:space="preserve">Fertilizantes de síntesis química: </w:t>
            </w:r>
            <w:r w:rsidRPr="00AD5078">
              <w:rPr>
                <w:rFonts w:ascii="Aptos" w:eastAsia="Times New Roman" w:hAnsi="Aptos" w:cs="Times New Roman"/>
                <w:sz w:val="24"/>
                <w:szCs w:val="24"/>
                <w:lang w:val="es-ES_tradnl"/>
              </w:rPr>
              <w:t>Compuestos químicos obtenidos por la combinación de nitrógeno proveniente del amoníaco y minerales que contienen fósforo, potasio, magnesio, azufre, boro, zinc, entre otros, que aportan nutrientes en forma asimilable por una planta. Se destacan la urea, nitrato de amonio, fosfatos de amonio, nitratos de potasio, fertilizantes NPK, entre otros.</w:t>
            </w:r>
          </w:p>
          <w:p w14:paraId="5F2BC211" w14:textId="77777777" w:rsidR="00B810CB" w:rsidRPr="00AD5078" w:rsidRDefault="00B810CB" w:rsidP="004C741C">
            <w:pPr>
              <w:spacing w:after="0" w:line="240" w:lineRule="auto"/>
              <w:jc w:val="both"/>
              <w:rPr>
                <w:rFonts w:ascii="Aptos" w:eastAsia="Times New Roman" w:hAnsi="Aptos" w:cs="Times New Roman"/>
                <w:sz w:val="24"/>
                <w:szCs w:val="24"/>
                <w:lang w:val="es-ES_tradnl"/>
              </w:rPr>
            </w:pPr>
            <w:r w:rsidRPr="00AD5078">
              <w:rPr>
                <w:rFonts w:ascii="Aptos" w:eastAsia="Times New Roman" w:hAnsi="Aptos" w:cs="Times New Roman"/>
                <w:b/>
                <w:bCs/>
                <w:sz w:val="24"/>
                <w:szCs w:val="24"/>
                <w:lang w:val="es-ES_tradnl"/>
              </w:rPr>
              <w:lastRenderedPageBreak/>
              <w:t xml:space="preserve">Fuentes No Convencionales de Energía Renovable: </w:t>
            </w:r>
            <w:r w:rsidRPr="00AD5078">
              <w:rPr>
                <w:rFonts w:ascii="Aptos" w:eastAsia="Times New Roman" w:hAnsi="Aptos" w:cs="Times New Roman"/>
                <w:sz w:val="24"/>
                <w:szCs w:val="24"/>
                <w:lang w:val="es-ES_tradnl"/>
              </w:rPr>
              <w:t>Son aquellos recursos de energía renovable disponibles a nivel mundial que son ambientalmente sostenibles, pero que en el país no son empleados o son utilizados de manera marginal y no se comercializan ampliamente. Se consideran FNCER la biomasa, los pequeños aprovechamientos hidroeléctricos, la eólica, la geotérmica, la solar, la mareomotriz y el aprovechamiento energético de residuos orgánicos. Además de otras fuentes que podrán ser consideradas según lo determine la UPME.</w:t>
            </w:r>
          </w:p>
          <w:p w14:paraId="2CC0E5F0" w14:textId="77777777" w:rsidR="00B810CB" w:rsidRPr="00AD5078" w:rsidRDefault="00B810CB" w:rsidP="004C741C">
            <w:pPr>
              <w:spacing w:after="0" w:line="240" w:lineRule="auto"/>
              <w:jc w:val="both"/>
              <w:rPr>
                <w:rFonts w:ascii="Aptos" w:eastAsia="Times New Roman" w:hAnsi="Aptos" w:cs="Times New Roman"/>
                <w:sz w:val="24"/>
                <w:szCs w:val="24"/>
                <w:lang w:val="es-ES_tradnl"/>
              </w:rPr>
            </w:pPr>
            <w:r w:rsidRPr="00AD5078">
              <w:rPr>
                <w:rFonts w:ascii="Aptos" w:eastAsia="Times New Roman" w:hAnsi="Aptos" w:cs="Times New Roman"/>
                <w:b/>
                <w:bCs/>
                <w:sz w:val="24"/>
                <w:szCs w:val="24"/>
                <w:lang w:val="es-ES_tradnl"/>
              </w:rPr>
              <w:t xml:space="preserve">Vehículos Convertidos a hidrógeno: </w:t>
            </w:r>
            <w:r w:rsidRPr="00AD5078">
              <w:rPr>
                <w:rFonts w:ascii="Aptos" w:eastAsia="Times New Roman" w:hAnsi="Aptos" w:cs="Times New Roman"/>
                <w:sz w:val="24"/>
                <w:szCs w:val="24"/>
                <w:lang w:val="es-ES_tradnl"/>
              </w:rPr>
              <w:t>Aquellos vehículos originalmente de motor de combustión interna a los que se les reemplaza los sistemas que utilizan hidrocarburos por celdas de combustible y motores eléctricos para su propulsión. Son también aquellos vehículos originalmente eléctricos a baterías a los que se les instalan celdas de combustible, permitiéndoles utilizar hidrógeno como fuente de energía.</w:t>
            </w:r>
          </w:p>
          <w:p w14:paraId="7F41E0E8" w14:textId="77777777" w:rsidR="00B810CB" w:rsidRPr="00AD5078" w:rsidRDefault="00B810CB" w:rsidP="004C741C">
            <w:pPr>
              <w:spacing w:after="0" w:line="240" w:lineRule="auto"/>
              <w:jc w:val="both"/>
              <w:rPr>
                <w:rFonts w:ascii="Aptos" w:eastAsia="Times New Roman" w:hAnsi="Aptos" w:cs="Times New Roman"/>
                <w:sz w:val="24"/>
                <w:szCs w:val="24"/>
                <w:lang w:val="es-ES_tradnl"/>
              </w:rPr>
            </w:pPr>
            <w:r w:rsidRPr="00AD5078">
              <w:rPr>
                <w:rFonts w:ascii="Aptos" w:eastAsia="Times New Roman" w:hAnsi="Aptos" w:cs="Times New Roman"/>
                <w:b/>
                <w:bCs/>
                <w:sz w:val="24"/>
                <w:szCs w:val="24"/>
                <w:lang w:val="es-ES_tradnl"/>
              </w:rPr>
              <w:t xml:space="preserve">Vehículos dedicados a hidrógeno: </w:t>
            </w:r>
            <w:r w:rsidRPr="00AD5078">
              <w:rPr>
                <w:rFonts w:ascii="Aptos" w:eastAsia="Times New Roman" w:hAnsi="Aptos" w:cs="Times New Roman"/>
                <w:sz w:val="24"/>
                <w:szCs w:val="24"/>
                <w:lang w:val="es-ES_tradnl"/>
              </w:rPr>
              <w:t>Aquellos vehículos ha sido diseñado y fabricado para operar exclusivamente con hidrógeno, ya sea utilizando celdas de combustible o motores de combustión de 100% hidrógeno.</w:t>
            </w:r>
          </w:p>
          <w:p w14:paraId="1D5E1161" w14:textId="77777777" w:rsidR="00B810CB" w:rsidRPr="00AD5078" w:rsidRDefault="00B810CB" w:rsidP="004C741C">
            <w:pPr>
              <w:spacing w:after="0" w:line="240" w:lineRule="auto"/>
              <w:jc w:val="both"/>
              <w:rPr>
                <w:rFonts w:ascii="Aptos" w:eastAsia="Times New Roman" w:hAnsi="Aptos" w:cs="Times New Roman"/>
                <w:sz w:val="24"/>
                <w:szCs w:val="24"/>
                <w:lang w:val="es-ES_tradnl"/>
              </w:rPr>
            </w:pPr>
            <w:r w:rsidRPr="00AD5078">
              <w:rPr>
                <w:rFonts w:ascii="Aptos" w:eastAsia="Times New Roman" w:hAnsi="Aptos" w:cs="Times New Roman"/>
                <w:b/>
                <w:bCs/>
                <w:sz w:val="24"/>
                <w:szCs w:val="24"/>
                <w:lang w:val="es-ES_tradnl"/>
              </w:rPr>
              <w:t xml:space="preserve">Vehículos híbridos: </w:t>
            </w:r>
            <w:r w:rsidRPr="00AD5078">
              <w:rPr>
                <w:rFonts w:ascii="Aptos" w:eastAsia="Times New Roman" w:hAnsi="Aptos" w:cs="Times New Roman"/>
                <w:sz w:val="24"/>
                <w:szCs w:val="24"/>
                <w:lang w:val="es-ES_tradnl"/>
              </w:rPr>
              <w:t xml:space="preserve">Aquellos vehículos que utilizan sistemas de propulsión híbridos / </w:t>
            </w:r>
            <w:proofErr w:type="spellStart"/>
            <w:r w:rsidRPr="00AD5078">
              <w:rPr>
                <w:rFonts w:ascii="Aptos" w:eastAsia="Times New Roman" w:hAnsi="Aptos" w:cs="Times New Roman"/>
                <w:sz w:val="24"/>
                <w:szCs w:val="24"/>
                <w:lang w:val="es-ES_tradnl"/>
              </w:rPr>
              <w:t>dualizados</w:t>
            </w:r>
            <w:proofErr w:type="spellEnd"/>
            <w:r w:rsidRPr="00AD5078">
              <w:rPr>
                <w:rFonts w:ascii="Aptos" w:eastAsia="Times New Roman" w:hAnsi="Aptos" w:cs="Times New Roman"/>
                <w:sz w:val="24"/>
                <w:szCs w:val="24"/>
                <w:lang w:val="es-ES_tradnl"/>
              </w:rPr>
              <w:t xml:space="preserve"> (dos o más tecnologías). Los sistemas híbridos pueden incorporar celdas de combustibles, supercondensador, motor de aire comprimido, batería inercial en combinación con un motor eléctrico o de combustión.</w:t>
            </w:r>
          </w:p>
          <w:p w14:paraId="3CCD7BB3" w14:textId="77777777" w:rsidR="00B810CB" w:rsidRPr="00AD5078" w:rsidRDefault="00B810CB" w:rsidP="004C741C">
            <w:pPr>
              <w:jc w:val="both"/>
              <w:rPr>
                <w:rFonts w:ascii="Aptos" w:eastAsia="Times New Roman" w:hAnsi="Aptos" w:cs="Times New Roman"/>
                <w:sz w:val="24"/>
                <w:szCs w:val="24"/>
                <w:lang w:val="es-ES_tradnl"/>
              </w:rPr>
            </w:pPr>
          </w:p>
          <w:p w14:paraId="320F441E" w14:textId="77777777" w:rsidR="00B810CB" w:rsidRPr="00AD5078" w:rsidRDefault="00B810CB" w:rsidP="004C741C">
            <w:pPr>
              <w:jc w:val="both"/>
              <w:rPr>
                <w:rFonts w:ascii="Aptos" w:eastAsia="Times New Roman" w:hAnsi="Aptos" w:cs="Times New Roman"/>
                <w:sz w:val="24"/>
                <w:szCs w:val="24"/>
                <w:lang w:val="es-ES_tradnl"/>
              </w:rPr>
            </w:pPr>
          </w:p>
          <w:p w14:paraId="0EB4EE52" w14:textId="77777777" w:rsidR="00B810CB" w:rsidRPr="00AD5078" w:rsidRDefault="00B810CB" w:rsidP="004C741C">
            <w:pPr>
              <w:jc w:val="both"/>
              <w:rPr>
                <w:rFonts w:ascii="Aptos" w:eastAsia="Times New Roman" w:hAnsi="Aptos" w:cs="Times New Roman"/>
                <w:sz w:val="24"/>
                <w:szCs w:val="24"/>
                <w:lang w:val="es-ES_tradnl"/>
              </w:rPr>
            </w:pPr>
          </w:p>
          <w:p w14:paraId="4E2774D6" w14:textId="77777777" w:rsidR="00B810CB" w:rsidRPr="00AD5078" w:rsidRDefault="00B810CB" w:rsidP="004C741C">
            <w:pPr>
              <w:jc w:val="both"/>
              <w:rPr>
                <w:rFonts w:ascii="Aptos" w:eastAsia="Times New Roman" w:hAnsi="Aptos" w:cs="Times New Roman"/>
                <w:sz w:val="24"/>
                <w:szCs w:val="24"/>
                <w:lang w:val="es-ES_tradnl"/>
              </w:rPr>
            </w:pPr>
          </w:p>
          <w:p w14:paraId="5ABA26A8" w14:textId="77777777" w:rsidR="00B810CB" w:rsidRPr="00AD5078" w:rsidRDefault="00B810CB" w:rsidP="004C741C">
            <w:pPr>
              <w:jc w:val="both"/>
              <w:rPr>
                <w:rFonts w:ascii="Aptos" w:eastAsia="Times New Roman" w:hAnsi="Aptos" w:cs="Times New Roman"/>
                <w:sz w:val="24"/>
                <w:szCs w:val="24"/>
                <w:lang w:val="es-ES_tradnl"/>
              </w:rPr>
            </w:pPr>
          </w:p>
        </w:tc>
        <w:tc>
          <w:tcPr>
            <w:tcW w:w="3402" w:type="dxa"/>
          </w:tcPr>
          <w:p w14:paraId="3269F0F8" w14:textId="77777777" w:rsidR="00B810CB" w:rsidRPr="00AD5078" w:rsidRDefault="00B810CB" w:rsidP="004C741C">
            <w:pPr>
              <w:jc w:val="both"/>
              <w:rPr>
                <w:rFonts w:ascii="Aptos" w:eastAsia="Times New Roman" w:hAnsi="Aptos" w:cs="Times New Roman"/>
                <w:sz w:val="24"/>
                <w:szCs w:val="24"/>
                <w:lang w:val="es-ES_tradnl"/>
              </w:rPr>
            </w:pPr>
            <w:r w:rsidRPr="00AD5078">
              <w:rPr>
                <w:rFonts w:ascii="Aptos" w:eastAsia="Times New Roman" w:hAnsi="Aptos" w:cs="Times New Roman"/>
                <w:sz w:val="24"/>
                <w:szCs w:val="24"/>
                <w:lang w:val="es-ES_tradnl"/>
              </w:rPr>
              <w:lastRenderedPageBreak/>
              <w:t xml:space="preserve">Se considera pertinente y adecuado el ajuste propuesto para artículo 2 en lo relacionado con la definición de fertilizantes de síntesis química. En el contexto nacional, esta definición genera mayor flexibilidad para impulsar las iniciativas contempladas en el artículo 18, especialmente aquellas relacionadas con fertilizantes sostenibles a partir de hidrógeno de bajas emisiones, y contribuye a una inserción coherente del hidrógeno en la industria agrícola, dado que el concepto empleado se alinea con las definiciones utilizadas por otras entidades del sector agropecuario.  </w:t>
            </w:r>
          </w:p>
        </w:tc>
      </w:tr>
      <w:tr w:rsidR="00B810CB" w:rsidRPr="00AD5078" w14:paraId="58BEA4D6" w14:textId="77777777" w:rsidTr="004C741C">
        <w:trPr>
          <w:trHeight w:val="321"/>
          <w:jc w:val="center"/>
        </w:trPr>
        <w:tc>
          <w:tcPr>
            <w:tcW w:w="1016" w:type="dxa"/>
          </w:tcPr>
          <w:p w14:paraId="439B6FF6" w14:textId="77777777" w:rsidR="00B810CB" w:rsidRPr="00AD5078" w:rsidRDefault="00B810CB" w:rsidP="004C741C">
            <w:pPr>
              <w:jc w:val="both"/>
              <w:rPr>
                <w:rFonts w:ascii="Aptos" w:eastAsia="Times New Roman" w:hAnsi="Aptos" w:cs="Times New Roman"/>
                <w:b/>
                <w:bCs/>
                <w:sz w:val="24"/>
                <w:szCs w:val="24"/>
                <w:lang w:val="es-ES_tradnl"/>
              </w:rPr>
            </w:pPr>
            <w:r w:rsidRPr="00AD5078">
              <w:rPr>
                <w:rFonts w:ascii="Aptos" w:eastAsia="Times New Roman" w:hAnsi="Aptos" w:cs="Times New Roman"/>
                <w:b/>
                <w:bCs/>
                <w:sz w:val="24"/>
                <w:szCs w:val="24"/>
                <w:lang w:val="es-ES_tradnl"/>
              </w:rPr>
              <w:t>3</w:t>
            </w:r>
          </w:p>
        </w:tc>
        <w:tc>
          <w:tcPr>
            <w:tcW w:w="7484" w:type="dxa"/>
          </w:tcPr>
          <w:p w14:paraId="3D2317FE" w14:textId="77777777" w:rsidR="00B810CB" w:rsidRPr="00AD5078" w:rsidRDefault="00B810CB" w:rsidP="004C741C">
            <w:pPr>
              <w:jc w:val="both"/>
              <w:rPr>
                <w:rFonts w:ascii="Aptos" w:eastAsia="Times New Roman" w:hAnsi="Aptos" w:cs="Times New Roman"/>
                <w:sz w:val="24"/>
                <w:szCs w:val="24"/>
                <w:lang w:val="es-ES_tradnl"/>
              </w:rPr>
            </w:pPr>
          </w:p>
          <w:p w14:paraId="065C4D22" w14:textId="77777777" w:rsidR="00B810CB" w:rsidRPr="00AD5078" w:rsidRDefault="00B810CB" w:rsidP="004C741C">
            <w:pPr>
              <w:spacing w:after="0" w:line="240" w:lineRule="auto"/>
              <w:jc w:val="both"/>
              <w:rPr>
                <w:rFonts w:ascii="Aptos" w:eastAsia="Times New Roman" w:hAnsi="Aptos" w:cs="Times New Roman"/>
                <w:sz w:val="24"/>
                <w:szCs w:val="24"/>
                <w:lang w:val="es-ES_tradnl"/>
              </w:rPr>
            </w:pPr>
            <w:r w:rsidRPr="00AD5078">
              <w:rPr>
                <w:rFonts w:ascii="Aptos" w:eastAsia="Times New Roman" w:hAnsi="Aptos" w:cs="Times New Roman"/>
                <w:sz w:val="24"/>
                <w:szCs w:val="24"/>
                <w:lang w:val="es-ES_tradnl"/>
              </w:rPr>
              <w:t>Adiciónese el numeral 27 y 28 al artículo 5 de la Ley 1715 de</w:t>
            </w:r>
          </w:p>
          <w:p w14:paraId="1E07CD5F" w14:textId="77777777" w:rsidR="00B810CB" w:rsidRPr="00AD5078" w:rsidRDefault="00B810CB" w:rsidP="004C741C">
            <w:pPr>
              <w:spacing w:after="0" w:line="240" w:lineRule="auto"/>
              <w:jc w:val="both"/>
              <w:rPr>
                <w:rFonts w:ascii="Aptos" w:eastAsia="Times New Roman" w:hAnsi="Aptos" w:cs="Times New Roman"/>
                <w:sz w:val="24"/>
                <w:szCs w:val="24"/>
                <w:lang w:val="es-ES_tradnl"/>
              </w:rPr>
            </w:pPr>
            <w:r w:rsidRPr="00AD5078">
              <w:rPr>
                <w:rFonts w:ascii="Aptos" w:eastAsia="Times New Roman" w:hAnsi="Aptos" w:cs="Times New Roman"/>
                <w:sz w:val="24"/>
                <w:szCs w:val="24"/>
                <w:lang w:val="es-ES_tradnl"/>
              </w:rPr>
              <w:t>2014, así:</w:t>
            </w:r>
          </w:p>
          <w:p w14:paraId="2C5E7BF2" w14:textId="77777777" w:rsidR="00B810CB" w:rsidRPr="00AD5078" w:rsidRDefault="00B810CB" w:rsidP="004C741C">
            <w:pPr>
              <w:jc w:val="both"/>
              <w:rPr>
                <w:rFonts w:ascii="Aptos" w:eastAsia="Times New Roman" w:hAnsi="Aptos" w:cs="Times New Roman"/>
                <w:b/>
                <w:bCs/>
                <w:sz w:val="24"/>
                <w:szCs w:val="24"/>
                <w:lang w:val="es-ES_tradnl"/>
              </w:rPr>
            </w:pPr>
          </w:p>
          <w:p w14:paraId="3FC5C2DD" w14:textId="77777777" w:rsidR="00B810CB" w:rsidRPr="00AD5078" w:rsidRDefault="00B810CB" w:rsidP="00B810CB">
            <w:pPr>
              <w:pStyle w:val="Prrafodelista"/>
              <w:numPr>
                <w:ilvl w:val="0"/>
                <w:numId w:val="1"/>
              </w:numPr>
              <w:spacing w:after="0" w:line="240" w:lineRule="auto"/>
              <w:jc w:val="both"/>
              <w:rPr>
                <w:rFonts w:ascii="Aptos" w:eastAsia="Times New Roman" w:hAnsi="Aptos" w:cs="Times New Roman"/>
                <w:sz w:val="24"/>
                <w:szCs w:val="24"/>
                <w:lang w:val="es-ES_tradnl"/>
              </w:rPr>
            </w:pPr>
            <w:r w:rsidRPr="00AD5078">
              <w:rPr>
                <w:rFonts w:ascii="Aptos" w:eastAsia="Times New Roman" w:hAnsi="Aptos" w:cs="Times New Roman"/>
                <w:b/>
                <w:bCs/>
                <w:sz w:val="24"/>
                <w:szCs w:val="24"/>
                <w:lang w:val="es-ES_tradnl"/>
              </w:rPr>
              <w:lastRenderedPageBreak/>
              <w:t xml:space="preserve">Hidrógeno de bajas emisiones: </w:t>
            </w:r>
            <w:r w:rsidRPr="00AD5078">
              <w:rPr>
                <w:rFonts w:ascii="Aptos" w:eastAsia="Times New Roman" w:hAnsi="Aptos" w:cs="Times New Roman"/>
                <w:sz w:val="24"/>
                <w:szCs w:val="24"/>
                <w:lang w:val="es-ES_tradnl"/>
              </w:rPr>
              <w:t>Se refiere a todo hidrógeno producido o extraído mediante tecnologías o métodos que generen bajos niveles de emisiones de carbono, independientemente del proceso utilizado. La clasificación como hidrógeno de bajas emisiones depende de que la intensidad de las emisiones de gases de efecto invernadero (GEI) sea menor o igual a los umbrales que establece el Ministerio de Ambiente y Desarrollo Sostenible y el Ministerio de Minas y Energía, según sus respectivas competencias.</w:t>
            </w:r>
          </w:p>
          <w:p w14:paraId="20D16ADC" w14:textId="77777777" w:rsidR="00B810CB" w:rsidRPr="00AD5078" w:rsidRDefault="00B810CB" w:rsidP="004C741C">
            <w:pPr>
              <w:pStyle w:val="Prrafodelista"/>
              <w:spacing w:after="0" w:line="240" w:lineRule="auto"/>
              <w:jc w:val="both"/>
              <w:rPr>
                <w:rFonts w:ascii="Aptos" w:eastAsia="Times New Roman" w:hAnsi="Aptos" w:cs="Times New Roman"/>
                <w:sz w:val="24"/>
                <w:szCs w:val="24"/>
                <w:lang w:val="es-ES_tradnl"/>
              </w:rPr>
            </w:pPr>
          </w:p>
          <w:p w14:paraId="1CFD33D8" w14:textId="77777777" w:rsidR="00B810CB" w:rsidRPr="00AD5078" w:rsidRDefault="00B810CB" w:rsidP="00B810CB">
            <w:pPr>
              <w:pStyle w:val="Prrafodelista"/>
              <w:numPr>
                <w:ilvl w:val="0"/>
                <w:numId w:val="1"/>
              </w:numPr>
              <w:spacing w:after="0" w:line="240" w:lineRule="auto"/>
              <w:jc w:val="both"/>
              <w:rPr>
                <w:rFonts w:ascii="Aptos" w:eastAsia="Times New Roman" w:hAnsi="Aptos" w:cs="Times New Roman"/>
                <w:sz w:val="24"/>
                <w:szCs w:val="24"/>
                <w:lang w:val="es-ES_tradnl"/>
              </w:rPr>
            </w:pPr>
            <w:r w:rsidRPr="00AD5078">
              <w:rPr>
                <w:rFonts w:ascii="Aptos" w:eastAsia="Times New Roman" w:hAnsi="Aptos" w:cs="Times New Roman"/>
                <w:sz w:val="24"/>
                <w:szCs w:val="24"/>
                <w:lang w:val="es-ES_tradnl"/>
              </w:rPr>
              <w:t>El hidrógeno azul y blanco, definidos en el artículo 5 de la Ley 1715 de 2014, modificada por la Ley 2099 de 2021 y la Ley 2294 de 2023 o la norma que lo modifique, sustituya o derogue, podrán considerarse incluidos dentro de la presente definición de hidrógeno de bajas emisiones, siempre que cumplan con el umbral de emisiones establecido para tal fin.</w:t>
            </w:r>
          </w:p>
          <w:p w14:paraId="38BAA89B" w14:textId="77777777" w:rsidR="00B810CB" w:rsidRPr="00AD5078" w:rsidRDefault="00B810CB" w:rsidP="004C741C">
            <w:pPr>
              <w:pStyle w:val="Prrafodelista"/>
              <w:jc w:val="both"/>
              <w:rPr>
                <w:rFonts w:ascii="Aptos" w:eastAsia="Times New Roman" w:hAnsi="Aptos" w:cs="Times New Roman"/>
                <w:sz w:val="24"/>
                <w:szCs w:val="24"/>
                <w:lang w:val="es-ES_tradnl"/>
              </w:rPr>
            </w:pPr>
          </w:p>
          <w:p w14:paraId="6BE3128E" w14:textId="77777777" w:rsidR="00B810CB" w:rsidRPr="00AD5078" w:rsidRDefault="00B810CB" w:rsidP="004C741C">
            <w:pPr>
              <w:pStyle w:val="Prrafodelista"/>
              <w:spacing w:line="240" w:lineRule="auto"/>
              <w:jc w:val="both"/>
              <w:rPr>
                <w:rFonts w:ascii="Aptos" w:eastAsia="Times New Roman" w:hAnsi="Aptos" w:cs="Times New Roman"/>
                <w:sz w:val="24"/>
                <w:szCs w:val="24"/>
                <w:lang w:val="es-ES_tradnl"/>
              </w:rPr>
            </w:pPr>
          </w:p>
          <w:p w14:paraId="014BC009" w14:textId="77777777" w:rsidR="00B810CB" w:rsidRPr="00AD5078" w:rsidRDefault="00B810CB" w:rsidP="00B810CB">
            <w:pPr>
              <w:pStyle w:val="Prrafodelista"/>
              <w:numPr>
                <w:ilvl w:val="0"/>
                <w:numId w:val="1"/>
              </w:numPr>
              <w:spacing w:after="0" w:line="240" w:lineRule="auto"/>
              <w:jc w:val="both"/>
              <w:rPr>
                <w:rFonts w:ascii="Aptos" w:eastAsia="Times New Roman" w:hAnsi="Aptos" w:cs="Times New Roman"/>
                <w:sz w:val="24"/>
                <w:szCs w:val="24"/>
                <w:lang w:val="es-ES_tradnl"/>
              </w:rPr>
            </w:pPr>
            <w:r w:rsidRPr="00AD5078">
              <w:rPr>
                <w:rFonts w:ascii="Aptos" w:eastAsia="Times New Roman" w:hAnsi="Aptos" w:cs="Times New Roman"/>
                <w:sz w:val="24"/>
                <w:szCs w:val="24"/>
                <w:lang w:val="es-ES_tradnl"/>
              </w:rPr>
              <w:t>El hidrógeno verde definido en el artículo 5 de la Ley 1715 de 2014, modificada por la Ley 2099 de 2021 y la Ley 2294 de 2023 o la norma que lo modifique, sustituya o derogue, y sus derivados, por su naturaleza de producción a partir de fuentes renovables sin generación significativa de emisiones de carbono, se considera inherentemente de bajas emisiones y, por tanto, no está sujeto a los umbrales establecidos. El Hidrógeno de Bajas Emisiones será considerado una fuente no convencional de energía (FNCE).</w:t>
            </w:r>
          </w:p>
          <w:p w14:paraId="5212C2DB" w14:textId="77777777" w:rsidR="00B810CB" w:rsidRPr="00AD5078" w:rsidRDefault="00B810CB" w:rsidP="004C741C">
            <w:pPr>
              <w:pStyle w:val="Prrafodelista"/>
              <w:spacing w:line="240" w:lineRule="auto"/>
              <w:jc w:val="both"/>
              <w:rPr>
                <w:rFonts w:ascii="Aptos" w:eastAsia="Times New Roman" w:hAnsi="Aptos" w:cs="Times New Roman"/>
                <w:sz w:val="24"/>
                <w:szCs w:val="24"/>
                <w:lang w:val="es-ES_tradnl"/>
              </w:rPr>
            </w:pPr>
          </w:p>
          <w:p w14:paraId="34CA1E22" w14:textId="77777777" w:rsidR="00B810CB" w:rsidRPr="00AD5078" w:rsidRDefault="00B810CB" w:rsidP="00B810CB">
            <w:pPr>
              <w:pStyle w:val="Prrafodelista"/>
              <w:numPr>
                <w:ilvl w:val="0"/>
                <w:numId w:val="1"/>
              </w:numPr>
              <w:spacing w:after="0" w:line="240" w:lineRule="auto"/>
              <w:jc w:val="both"/>
              <w:rPr>
                <w:rFonts w:ascii="Aptos" w:eastAsia="Times New Roman" w:hAnsi="Aptos" w:cs="Times New Roman"/>
                <w:sz w:val="24"/>
                <w:szCs w:val="24"/>
                <w:lang w:val="es-ES_tradnl"/>
              </w:rPr>
            </w:pPr>
            <w:r w:rsidRPr="00AD5078">
              <w:rPr>
                <w:rFonts w:ascii="Aptos" w:eastAsia="Times New Roman" w:hAnsi="Aptos" w:cs="Times New Roman"/>
                <w:b/>
                <w:bCs/>
                <w:sz w:val="24"/>
                <w:szCs w:val="24"/>
                <w:lang w:val="es-ES_tradnl"/>
              </w:rPr>
              <w:t xml:space="preserve">Derivados del hidrógeno de bajas emisiones: </w:t>
            </w:r>
            <w:r w:rsidRPr="00AD5078">
              <w:rPr>
                <w:rFonts w:ascii="Aptos" w:eastAsia="Times New Roman" w:hAnsi="Aptos" w:cs="Times New Roman"/>
                <w:sz w:val="24"/>
                <w:szCs w:val="24"/>
                <w:lang w:val="es-ES_tradnl"/>
              </w:rPr>
              <w:t>Compuestos químicos obtenidos a partir del hidrógeno de bajas emisiones como materia prima, que incluyen productos entre los cuales se encuentran el amoníaco, el metanol y combustibles sintéticos, entre otros. Estos derivados se utilizan en múltiples sectores industriales como insumos clave en la producción de fertilizantes, productos químicos, combustibles líquidos y gases industriales. Además, los derivados de hidrógeno pueden ser utilizados como medios de almacenamiento y transporte de energía, facilitando su integración en diferentes cadenas de valor y aplicaciones energéticas.</w:t>
            </w:r>
          </w:p>
          <w:p w14:paraId="48F2C3BC" w14:textId="77777777" w:rsidR="00B810CB" w:rsidRPr="00AD5078" w:rsidRDefault="00B810CB" w:rsidP="004C741C">
            <w:pPr>
              <w:pStyle w:val="Prrafodelista"/>
              <w:jc w:val="both"/>
              <w:rPr>
                <w:rFonts w:ascii="Aptos" w:eastAsia="Times New Roman" w:hAnsi="Aptos" w:cs="Times New Roman"/>
                <w:sz w:val="24"/>
                <w:szCs w:val="24"/>
                <w:lang w:val="es-ES_tradnl"/>
              </w:rPr>
            </w:pPr>
          </w:p>
          <w:p w14:paraId="244BE4C8" w14:textId="77777777" w:rsidR="00B810CB" w:rsidRPr="00AD5078" w:rsidRDefault="00B810CB" w:rsidP="004C741C">
            <w:pPr>
              <w:pStyle w:val="Prrafodelista"/>
              <w:jc w:val="both"/>
              <w:rPr>
                <w:rFonts w:ascii="Aptos" w:eastAsia="Times New Roman" w:hAnsi="Aptos" w:cs="Times New Roman"/>
                <w:sz w:val="24"/>
                <w:szCs w:val="24"/>
                <w:lang w:val="es-ES_tradnl"/>
              </w:rPr>
            </w:pPr>
          </w:p>
          <w:p w14:paraId="0E948C33" w14:textId="77777777" w:rsidR="00B810CB" w:rsidRPr="00AD5078" w:rsidRDefault="00B810CB" w:rsidP="00B810CB">
            <w:pPr>
              <w:pStyle w:val="Prrafodelista"/>
              <w:numPr>
                <w:ilvl w:val="0"/>
                <w:numId w:val="1"/>
              </w:numPr>
              <w:spacing w:after="0" w:line="240" w:lineRule="auto"/>
              <w:jc w:val="both"/>
              <w:rPr>
                <w:rFonts w:ascii="Aptos" w:eastAsia="Times New Roman" w:hAnsi="Aptos" w:cs="Times New Roman"/>
                <w:sz w:val="24"/>
                <w:szCs w:val="24"/>
                <w:lang w:val="es-ES_tradnl"/>
              </w:rPr>
            </w:pPr>
            <w:r w:rsidRPr="00AD5078">
              <w:rPr>
                <w:rFonts w:ascii="Aptos" w:eastAsia="Times New Roman" w:hAnsi="Aptos" w:cs="Times New Roman"/>
                <w:sz w:val="24"/>
                <w:szCs w:val="24"/>
                <w:lang w:val="es-ES_tradnl"/>
              </w:rPr>
              <w:t>Los derivados del hidrógeno serán considerados una fuente no convencional de energía (FNCE).</w:t>
            </w:r>
          </w:p>
          <w:p w14:paraId="73D33533" w14:textId="77777777" w:rsidR="00B810CB" w:rsidRPr="00AD5078" w:rsidRDefault="00B810CB" w:rsidP="004C741C">
            <w:pPr>
              <w:jc w:val="both"/>
              <w:rPr>
                <w:rFonts w:ascii="Aptos" w:eastAsia="Times New Roman" w:hAnsi="Aptos" w:cs="Times New Roman"/>
                <w:sz w:val="24"/>
                <w:szCs w:val="24"/>
                <w:lang w:val="es-ES_tradnl"/>
              </w:rPr>
            </w:pPr>
          </w:p>
        </w:tc>
        <w:tc>
          <w:tcPr>
            <w:tcW w:w="3402" w:type="dxa"/>
          </w:tcPr>
          <w:p w14:paraId="08ACD9F8" w14:textId="77777777" w:rsidR="00B810CB" w:rsidRPr="00AD5078" w:rsidRDefault="00B810CB" w:rsidP="004C741C">
            <w:pPr>
              <w:tabs>
                <w:tab w:val="left" w:pos="906"/>
                <w:tab w:val="left" w:pos="1384"/>
                <w:tab w:val="left" w:pos="1459"/>
                <w:tab w:val="left" w:pos="1754"/>
                <w:tab w:val="left" w:pos="1831"/>
                <w:tab w:val="left" w:pos="1930"/>
                <w:tab w:val="left" w:pos="2516"/>
                <w:tab w:val="left" w:pos="2693"/>
                <w:tab w:val="left" w:pos="2730"/>
                <w:tab w:val="left" w:pos="2975"/>
              </w:tabs>
              <w:spacing w:after="0" w:line="257" w:lineRule="auto"/>
              <w:ind w:left="105" w:right="82"/>
              <w:jc w:val="both"/>
              <w:rPr>
                <w:rFonts w:ascii="Aptos" w:eastAsia="Times New Roman" w:hAnsi="Aptos" w:cs="Times New Roman"/>
                <w:sz w:val="24"/>
                <w:szCs w:val="24"/>
                <w:lang w:val="es-ES_tradnl"/>
              </w:rPr>
            </w:pPr>
            <w:r w:rsidRPr="00AD5078">
              <w:rPr>
                <w:rFonts w:ascii="Aptos" w:eastAsia="Times New Roman" w:hAnsi="Aptos" w:cs="Times New Roman"/>
                <w:sz w:val="24"/>
                <w:szCs w:val="24"/>
                <w:lang w:val="es-ES_tradnl"/>
              </w:rPr>
              <w:lastRenderedPageBreak/>
              <w:t>Para el caso de derivados, en términos de promoción del ecosistema de hidrógeno se considera conveniente incluir los derivados del hidró</w:t>
            </w:r>
            <w:r w:rsidRPr="00AD5078">
              <w:rPr>
                <w:rFonts w:ascii="Aptos" w:eastAsia="Times New Roman" w:hAnsi="Aptos" w:cs="Times New Roman"/>
                <w:sz w:val="24"/>
                <w:szCs w:val="24"/>
                <w:lang w:val="es-ES_tradnl"/>
              </w:rPr>
              <w:lastRenderedPageBreak/>
              <w:t>geno como FNCE, con la inclusión de los derivados como FNCE se amplía el alcance de los incentivos para los proyectos, constituyéndose en una señal favorable de impulso al desarrollo de proyectos de hidrógeno y derivados en el país.</w:t>
            </w:r>
          </w:p>
          <w:p w14:paraId="6A32BD0F" w14:textId="77777777" w:rsidR="00B810CB" w:rsidRPr="00AD5078" w:rsidRDefault="00B810CB" w:rsidP="004C741C">
            <w:pPr>
              <w:jc w:val="both"/>
              <w:rPr>
                <w:rFonts w:ascii="Aptos" w:eastAsia="Times New Roman" w:hAnsi="Aptos" w:cs="Times New Roman"/>
                <w:sz w:val="24"/>
                <w:szCs w:val="24"/>
                <w:lang w:val="es-ES_tradnl"/>
              </w:rPr>
            </w:pPr>
          </w:p>
          <w:p w14:paraId="378BCA9B" w14:textId="77777777" w:rsidR="00B810CB" w:rsidRPr="00AD5078" w:rsidRDefault="00B810CB" w:rsidP="004C741C">
            <w:pPr>
              <w:tabs>
                <w:tab w:val="left" w:pos="906"/>
                <w:tab w:val="left" w:pos="1384"/>
                <w:tab w:val="left" w:pos="1459"/>
                <w:tab w:val="left" w:pos="1754"/>
                <w:tab w:val="left" w:pos="1831"/>
                <w:tab w:val="left" w:pos="1930"/>
                <w:tab w:val="left" w:pos="2516"/>
                <w:tab w:val="left" w:pos="2693"/>
                <w:tab w:val="left" w:pos="2730"/>
                <w:tab w:val="left" w:pos="2975"/>
              </w:tabs>
              <w:spacing w:after="0" w:line="257" w:lineRule="auto"/>
              <w:ind w:left="105" w:right="82"/>
              <w:jc w:val="both"/>
              <w:rPr>
                <w:rFonts w:ascii="Aptos" w:eastAsia="Times New Roman" w:hAnsi="Aptos" w:cs="Times New Roman"/>
                <w:sz w:val="24"/>
                <w:szCs w:val="24"/>
                <w:lang w:val="es-ES_tradnl"/>
              </w:rPr>
            </w:pPr>
            <w:r w:rsidRPr="00AD5078">
              <w:rPr>
                <w:rFonts w:ascii="Aptos" w:eastAsia="Times New Roman" w:hAnsi="Aptos" w:cs="Times New Roman"/>
                <w:sz w:val="24"/>
                <w:szCs w:val="24"/>
                <w:lang w:val="es-ES_tradnl"/>
              </w:rPr>
              <w:t xml:space="preserve">INCLUIR: Los derivados </w:t>
            </w:r>
            <w:r w:rsidRPr="00AD5078">
              <w:rPr>
                <w:rFonts w:ascii="Aptos" w:eastAsia="Times New Roman" w:hAnsi="Aptos" w:cs="Times New Roman"/>
                <w:b/>
                <w:bCs/>
                <w:sz w:val="24"/>
                <w:szCs w:val="24"/>
                <w:lang w:val="es-ES_tradnl"/>
              </w:rPr>
              <w:t>de uso energético</w:t>
            </w:r>
            <w:r w:rsidRPr="00AD5078">
              <w:rPr>
                <w:rFonts w:ascii="Aptos" w:eastAsia="Times New Roman" w:hAnsi="Aptos" w:cs="Times New Roman"/>
                <w:sz w:val="24"/>
                <w:szCs w:val="24"/>
                <w:lang w:val="es-ES_tradnl"/>
              </w:rPr>
              <w:t xml:space="preserve"> del hidrógeno </w:t>
            </w:r>
            <w:r w:rsidRPr="00AD5078">
              <w:rPr>
                <w:rFonts w:ascii="Aptos" w:eastAsia="Times New Roman" w:hAnsi="Aptos" w:cs="Times New Roman"/>
                <w:b/>
                <w:bCs/>
                <w:sz w:val="24"/>
                <w:szCs w:val="24"/>
                <w:u w:val="single"/>
                <w:lang w:val="es-ES_tradnl"/>
              </w:rPr>
              <w:t>de bajas emisiones</w:t>
            </w:r>
            <w:r w:rsidRPr="00AD5078">
              <w:rPr>
                <w:rFonts w:ascii="Aptos" w:eastAsia="Times New Roman" w:hAnsi="Aptos" w:cs="Times New Roman"/>
                <w:sz w:val="24"/>
                <w:szCs w:val="24"/>
                <w:lang w:val="es-ES_tradnl"/>
              </w:rPr>
              <w:t xml:space="preserve"> serán considerados una fuente no convencional de energía (FNCE).</w:t>
            </w:r>
          </w:p>
          <w:p w14:paraId="08E87434" w14:textId="77777777" w:rsidR="00B810CB" w:rsidRPr="00AD5078" w:rsidRDefault="00B810CB" w:rsidP="004C741C">
            <w:pPr>
              <w:jc w:val="both"/>
              <w:rPr>
                <w:rFonts w:ascii="Aptos" w:eastAsia="Times New Roman" w:hAnsi="Aptos" w:cs="Times New Roman"/>
                <w:sz w:val="24"/>
                <w:szCs w:val="24"/>
                <w:lang w:val="es-ES_tradnl"/>
              </w:rPr>
            </w:pPr>
          </w:p>
        </w:tc>
      </w:tr>
      <w:tr w:rsidR="00B810CB" w:rsidRPr="00AD5078" w14:paraId="68A97A7A" w14:textId="77777777" w:rsidTr="004C741C">
        <w:trPr>
          <w:trHeight w:val="303"/>
          <w:jc w:val="center"/>
        </w:trPr>
        <w:tc>
          <w:tcPr>
            <w:tcW w:w="1016" w:type="dxa"/>
          </w:tcPr>
          <w:p w14:paraId="24C69D8E" w14:textId="77777777" w:rsidR="00B810CB" w:rsidRPr="00AD5078" w:rsidRDefault="00B810CB" w:rsidP="004C741C">
            <w:pPr>
              <w:jc w:val="both"/>
              <w:rPr>
                <w:rFonts w:ascii="Aptos" w:eastAsia="Times New Roman" w:hAnsi="Aptos" w:cs="Times New Roman"/>
                <w:b/>
                <w:bCs/>
                <w:sz w:val="24"/>
                <w:szCs w:val="24"/>
                <w:lang w:val="es-ES_tradnl"/>
              </w:rPr>
            </w:pPr>
            <w:r w:rsidRPr="00AD5078">
              <w:rPr>
                <w:rFonts w:ascii="Aptos" w:eastAsia="Times New Roman" w:hAnsi="Aptos" w:cs="Times New Roman"/>
                <w:b/>
                <w:bCs/>
                <w:sz w:val="24"/>
                <w:szCs w:val="24"/>
                <w:lang w:val="es-ES_tradnl"/>
              </w:rPr>
              <w:lastRenderedPageBreak/>
              <w:t>4</w:t>
            </w:r>
          </w:p>
        </w:tc>
        <w:tc>
          <w:tcPr>
            <w:tcW w:w="7484" w:type="dxa"/>
          </w:tcPr>
          <w:p w14:paraId="72971511" w14:textId="77777777" w:rsidR="00B810CB" w:rsidRPr="00AD5078" w:rsidRDefault="00B810CB" w:rsidP="004C741C">
            <w:pPr>
              <w:spacing w:after="0" w:line="240" w:lineRule="auto"/>
              <w:jc w:val="both"/>
              <w:rPr>
                <w:rFonts w:ascii="Aptos" w:eastAsia="Times New Roman" w:hAnsi="Aptos" w:cs="Times New Roman"/>
                <w:sz w:val="24"/>
                <w:szCs w:val="24"/>
                <w:lang w:val="es-ES_tradnl"/>
              </w:rPr>
            </w:pPr>
            <w:r w:rsidRPr="00AD5078">
              <w:rPr>
                <w:rFonts w:ascii="Aptos" w:eastAsia="Times New Roman" w:hAnsi="Aptos" w:cs="Times New Roman"/>
                <w:b/>
                <w:bCs/>
                <w:sz w:val="24"/>
                <w:szCs w:val="24"/>
                <w:lang w:val="es-ES_tradnl"/>
              </w:rPr>
              <w:t xml:space="preserve">Pilares. </w:t>
            </w:r>
            <w:r w:rsidRPr="00AD5078">
              <w:rPr>
                <w:rFonts w:ascii="Aptos" w:eastAsia="Times New Roman" w:hAnsi="Aptos" w:cs="Times New Roman"/>
                <w:sz w:val="24"/>
                <w:szCs w:val="24"/>
                <w:lang w:val="es-ES_tradnl"/>
              </w:rPr>
              <w:t>Para aplicación y desarrollo de la presente ley se tendrán en cuenta los siguientes pilares:</w:t>
            </w:r>
          </w:p>
          <w:p w14:paraId="29102E21" w14:textId="77777777" w:rsidR="00B810CB" w:rsidRPr="00AD5078" w:rsidRDefault="00B810CB" w:rsidP="004C741C">
            <w:pPr>
              <w:jc w:val="both"/>
              <w:rPr>
                <w:rFonts w:ascii="Aptos" w:eastAsia="Times New Roman" w:hAnsi="Aptos" w:cs="Times New Roman"/>
                <w:b/>
                <w:bCs/>
                <w:sz w:val="24"/>
                <w:szCs w:val="24"/>
                <w:lang w:val="es-ES_tradnl"/>
              </w:rPr>
            </w:pPr>
          </w:p>
          <w:p w14:paraId="6CC672B0" w14:textId="77777777" w:rsidR="00B810CB" w:rsidRPr="00AD5078" w:rsidRDefault="00B810CB" w:rsidP="00B810CB">
            <w:pPr>
              <w:pStyle w:val="Prrafodelista"/>
              <w:numPr>
                <w:ilvl w:val="0"/>
                <w:numId w:val="2"/>
              </w:numPr>
              <w:spacing w:after="0" w:line="240" w:lineRule="auto"/>
              <w:jc w:val="both"/>
              <w:rPr>
                <w:rFonts w:ascii="Aptos" w:eastAsia="Times New Roman" w:hAnsi="Aptos" w:cs="Times New Roman"/>
                <w:sz w:val="24"/>
                <w:szCs w:val="24"/>
                <w:lang w:val="es-ES_tradnl"/>
              </w:rPr>
            </w:pPr>
            <w:r w:rsidRPr="00AD5078">
              <w:rPr>
                <w:rFonts w:ascii="Aptos" w:eastAsia="Times New Roman" w:hAnsi="Aptos" w:cs="Times New Roman"/>
                <w:b/>
                <w:bCs/>
                <w:sz w:val="24"/>
                <w:szCs w:val="24"/>
                <w:lang w:val="es-ES_tradnl"/>
              </w:rPr>
              <w:t xml:space="preserve">Transición, seguridad y soberanía energética: </w:t>
            </w:r>
            <w:r w:rsidRPr="00AD5078">
              <w:rPr>
                <w:rFonts w:ascii="Aptos" w:eastAsia="Times New Roman" w:hAnsi="Aptos" w:cs="Times New Roman"/>
                <w:sz w:val="24"/>
                <w:szCs w:val="24"/>
                <w:lang w:val="es-ES_tradnl"/>
              </w:rPr>
              <w:t>El Gobierno Nacional debe garantizar el suministro de energía ininterrumpido de una manera sostenible con el medioambiente y la economía nacional. Por este motivo, todos los planes, programas y proyectos que se desarrollen proyectos, en el país para la producción y consumo de hidrógeno estarán enfocados en garantizar la seguridad energética a largo plazo, contribuyendo en la diversificación descarbonizada de la matriz nacional.</w:t>
            </w:r>
          </w:p>
          <w:p w14:paraId="142ACDD0" w14:textId="77777777" w:rsidR="00B810CB" w:rsidRPr="00AD5078" w:rsidRDefault="00B810CB" w:rsidP="004C741C">
            <w:pPr>
              <w:jc w:val="both"/>
              <w:rPr>
                <w:rFonts w:ascii="Aptos" w:eastAsia="Times New Roman" w:hAnsi="Aptos" w:cs="Times New Roman"/>
                <w:sz w:val="24"/>
                <w:szCs w:val="24"/>
                <w:lang w:val="es-ES_tradnl"/>
              </w:rPr>
            </w:pPr>
          </w:p>
          <w:p w14:paraId="4926726A" w14:textId="77777777" w:rsidR="00B810CB" w:rsidRPr="00AD5078" w:rsidRDefault="00B810CB" w:rsidP="004C741C">
            <w:pPr>
              <w:jc w:val="both"/>
              <w:rPr>
                <w:rFonts w:ascii="Aptos" w:eastAsia="Times New Roman" w:hAnsi="Aptos" w:cs="Times New Roman"/>
                <w:sz w:val="24"/>
                <w:szCs w:val="24"/>
                <w:lang w:val="es-ES_tradnl"/>
              </w:rPr>
            </w:pPr>
          </w:p>
          <w:p w14:paraId="63001BC8" w14:textId="77777777" w:rsidR="00B810CB" w:rsidRPr="00AD5078" w:rsidRDefault="00B810CB" w:rsidP="00B810CB">
            <w:pPr>
              <w:pStyle w:val="Prrafodelista"/>
              <w:numPr>
                <w:ilvl w:val="0"/>
                <w:numId w:val="2"/>
              </w:numPr>
              <w:spacing w:after="0" w:line="240" w:lineRule="auto"/>
              <w:jc w:val="both"/>
              <w:rPr>
                <w:rFonts w:ascii="Aptos" w:eastAsia="Times New Roman" w:hAnsi="Aptos" w:cs="Times New Roman"/>
                <w:b/>
                <w:bCs/>
                <w:sz w:val="24"/>
                <w:szCs w:val="24"/>
                <w:lang w:val="es-ES_tradnl"/>
              </w:rPr>
            </w:pPr>
            <w:r w:rsidRPr="00AD5078">
              <w:rPr>
                <w:rFonts w:ascii="Aptos" w:eastAsia="Times New Roman" w:hAnsi="Aptos" w:cs="Times New Roman"/>
                <w:b/>
                <w:bCs/>
                <w:sz w:val="24"/>
                <w:szCs w:val="24"/>
                <w:lang w:val="es-ES_tradnl"/>
              </w:rPr>
              <w:t xml:space="preserve">Seguridad y soberanía alimentaria: </w:t>
            </w:r>
            <w:r w:rsidRPr="00AD5078">
              <w:rPr>
                <w:rFonts w:ascii="Aptos" w:eastAsia="Times New Roman" w:hAnsi="Aptos" w:cs="Times New Roman"/>
                <w:sz w:val="24"/>
                <w:szCs w:val="24"/>
                <w:lang w:val="es-ES_tradnl"/>
              </w:rPr>
              <w:t>El Gobierno Nacional debe abordar dos desafíos importantes: garantizar la disponibilidad y el acceso a alimentos, y promover la seguridad y soberanía alimentaria del país. Es por esto por lo que se incentiva la producción de amoniaco bajo en emisiones mediante hidrógeno de bajas emisiones para fortalecer el abastecimiento local de fertilizantes y promover la producción sostenible de alimentos, mejorando así la disponibilidad y el acceso a los alimentos en el país.</w:t>
            </w:r>
          </w:p>
          <w:p w14:paraId="1636A83E" w14:textId="77777777" w:rsidR="00B810CB" w:rsidRPr="00AD5078" w:rsidRDefault="00B810CB" w:rsidP="004C741C">
            <w:pPr>
              <w:pStyle w:val="Prrafodelista"/>
              <w:spacing w:after="0" w:line="240" w:lineRule="auto"/>
              <w:jc w:val="both"/>
              <w:rPr>
                <w:rFonts w:ascii="Aptos" w:eastAsia="Times New Roman" w:hAnsi="Aptos" w:cs="Times New Roman"/>
                <w:b/>
                <w:bCs/>
                <w:sz w:val="24"/>
                <w:szCs w:val="24"/>
                <w:lang w:val="es-ES_tradnl"/>
              </w:rPr>
            </w:pPr>
          </w:p>
          <w:p w14:paraId="49E10B2B" w14:textId="77777777" w:rsidR="00B810CB" w:rsidRPr="00AD5078" w:rsidRDefault="00B810CB" w:rsidP="00B810CB">
            <w:pPr>
              <w:numPr>
                <w:ilvl w:val="0"/>
                <w:numId w:val="2"/>
              </w:numPr>
              <w:spacing w:after="0" w:line="240" w:lineRule="auto"/>
              <w:jc w:val="both"/>
              <w:rPr>
                <w:rFonts w:ascii="Aptos" w:eastAsia="Times New Roman" w:hAnsi="Aptos" w:cs="Times New Roman"/>
                <w:b/>
                <w:bCs/>
                <w:sz w:val="24"/>
                <w:szCs w:val="24"/>
                <w:lang w:val="es-ES_tradnl"/>
              </w:rPr>
            </w:pPr>
            <w:r w:rsidRPr="00AD5078">
              <w:rPr>
                <w:rFonts w:ascii="Aptos" w:eastAsia="Times New Roman" w:hAnsi="Aptos" w:cs="Times New Roman"/>
                <w:b/>
                <w:bCs/>
                <w:sz w:val="24"/>
                <w:szCs w:val="24"/>
                <w:lang w:val="es-ES_tradnl"/>
              </w:rPr>
              <w:t xml:space="preserve">Descarbonización: </w:t>
            </w:r>
            <w:r w:rsidRPr="00AD5078">
              <w:rPr>
                <w:rFonts w:ascii="Aptos" w:eastAsia="Times New Roman" w:hAnsi="Aptos" w:cs="Times New Roman"/>
                <w:sz w:val="24"/>
                <w:szCs w:val="24"/>
                <w:lang w:val="es-ES_tradnl"/>
              </w:rPr>
              <w:t xml:space="preserve">En el proceso de cumplir las metas de reducir las emisiones de carbono en la atmósfera (GEI) y lograr la transformación tecnológica del país hacia una economía descarbonizada, el hidrógeno se posiciona como alternativa para conseguir que las industrias difícilmente abatibles, sean climáticamente neutras. Por ello, el desarrollo de la economía del hidrógeno deberá converger en la generación de nuevos empleos </w:t>
            </w:r>
            <w:r w:rsidRPr="00AD5078">
              <w:rPr>
                <w:rFonts w:ascii="Aptos" w:eastAsia="Times New Roman" w:hAnsi="Aptos" w:cs="Times New Roman"/>
                <w:sz w:val="24"/>
                <w:szCs w:val="24"/>
                <w:lang w:val="es-ES_tradnl"/>
              </w:rPr>
              <w:lastRenderedPageBreak/>
              <w:t>y nuevas actividades económicas de productos y servicios complementarios que contribuyan de manera directa e indirecta en el bienestar de la población y sus comunidades a nivel nacional.</w:t>
            </w:r>
          </w:p>
          <w:p w14:paraId="597656BF" w14:textId="77777777" w:rsidR="00B810CB" w:rsidRPr="00AD5078" w:rsidRDefault="00B810CB" w:rsidP="004C741C">
            <w:pPr>
              <w:pStyle w:val="Prrafodelista"/>
              <w:jc w:val="both"/>
              <w:rPr>
                <w:rFonts w:ascii="Aptos" w:eastAsia="Times New Roman" w:hAnsi="Aptos" w:cs="Times New Roman"/>
                <w:b/>
                <w:bCs/>
                <w:sz w:val="24"/>
                <w:szCs w:val="24"/>
                <w:lang w:val="es-ES_tradnl"/>
              </w:rPr>
            </w:pPr>
          </w:p>
          <w:p w14:paraId="2BEACD55" w14:textId="77777777" w:rsidR="00B810CB" w:rsidRPr="00AD5078" w:rsidRDefault="00B810CB" w:rsidP="004C741C">
            <w:pPr>
              <w:spacing w:after="0" w:line="240" w:lineRule="auto"/>
              <w:ind w:left="720"/>
              <w:jc w:val="both"/>
              <w:rPr>
                <w:rFonts w:ascii="Aptos" w:eastAsia="Times New Roman" w:hAnsi="Aptos" w:cs="Times New Roman"/>
                <w:b/>
                <w:bCs/>
                <w:sz w:val="24"/>
                <w:szCs w:val="24"/>
                <w:lang w:val="es-ES_tradnl"/>
              </w:rPr>
            </w:pPr>
            <w:r w:rsidRPr="00AD5078">
              <w:rPr>
                <w:rFonts w:ascii="Aptos" w:eastAsia="Times New Roman" w:hAnsi="Aptos" w:cs="Times New Roman"/>
                <w:sz w:val="24"/>
                <w:szCs w:val="24"/>
                <w:lang w:val="es-ES_tradnl"/>
              </w:rPr>
              <w:t>Se dará preferencia en su aplicación a las medidas, tecnologías y proyectos que generen mayores reducciones de gases de efecto invernadero y que contribuyan de manera más eficaz a los objetivos nacionales de transición energética justa y carbono-neutralidad al 2050.</w:t>
            </w:r>
          </w:p>
          <w:p w14:paraId="69D3F797" w14:textId="77777777" w:rsidR="00B810CB" w:rsidRPr="00AD5078" w:rsidRDefault="00B810CB" w:rsidP="00B810CB">
            <w:pPr>
              <w:numPr>
                <w:ilvl w:val="0"/>
                <w:numId w:val="2"/>
              </w:numPr>
              <w:spacing w:after="0" w:line="240" w:lineRule="auto"/>
              <w:jc w:val="both"/>
              <w:rPr>
                <w:rFonts w:ascii="Aptos" w:eastAsia="Times New Roman" w:hAnsi="Aptos" w:cs="Times New Roman"/>
                <w:b/>
                <w:bCs/>
                <w:sz w:val="24"/>
                <w:szCs w:val="24"/>
                <w:lang w:val="es-ES_tradnl"/>
              </w:rPr>
            </w:pPr>
            <w:r w:rsidRPr="00AD5078">
              <w:rPr>
                <w:rFonts w:ascii="Aptos" w:eastAsia="Times New Roman" w:hAnsi="Aptos" w:cs="Times New Roman"/>
                <w:b/>
                <w:bCs/>
                <w:sz w:val="24"/>
                <w:szCs w:val="24"/>
                <w:lang w:val="es-ES_tradnl"/>
              </w:rPr>
              <w:t xml:space="preserve">Gestión del recurso hídrico para el desarrollo del hidrógeno en Colombia: </w:t>
            </w:r>
            <w:r w:rsidRPr="00AD5078">
              <w:rPr>
                <w:rFonts w:ascii="Aptos" w:eastAsia="Times New Roman" w:hAnsi="Aptos" w:cs="Times New Roman"/>
                <w:sz w:val="24"/>
                <w:szCs w:val="24"/>
                <w:lang w:val="es-ES_tradnl"/>
              </w:rPr>
              <w:t xml:space="preserve">En el proceso de descarbonización del país y en la lucha contra el cambio climático, el agua es un recurso esencial. El uso del recurso hídrico en el proceso productivo del </w:t>
            </w:r>
            <w:proofErr w:type="gramStart"/>
            <w:r w:rsidRPr="00AD5078">
              <w:rPr>
                <w:rFonts w:ascii="Aptos" w:eastAsia="Times New Roman" w:hAnsi="Aptos" w:cs="Times New Roman"/>
                <w:sz w:val="24"/>
                <w:szCs w:val="24"/>
                <w:lang w:val="es-ES_tradnl"/>
              </w:rPr>
              <w:t>hidrógeno,</w:t>
            </w:r>
            <w:proofErr w:type="gramEnd"/>
            <w:r w:rsidRPr="00AD5078">
              <w:rPr>
                <w:rFonts w:ascii="Aptos" w:eastAsia="Times New Roman" w:hAnsi="Aptos" w:cs="Times New Roman"/>
                <w:sz w:val="24"/>
                <w:szCs w:val="24"/>
                <w:lang w:val="es-ES_tradnl"/>
              </w:rPr>
              <w:t xml:space="preserve"> deberá adaptarse de manera responsable a la normativa dispuesta para su uso a nivel nacional. Dentro de las acciones encaminadas al desarrollo del hidrógeno en toda su cadena productiva, dado el nivel de pureza requerido, se deberán incentivar las inversiones en la infraestructura de saneamiento (abastecimiento, tratamiento de aguas residuales y drenajes de agua), desalinización del agua de mar y la reutilización de aguas residuales; así como incentivar la economía circular y la reducción de la huella hídrica para garantizar el uso eficiente del mismo.</w:t>
            </w:r>
          </w:p>
          <w:p w14:paraId="03CE412A" w14:textId="77777777" w:rsidR="00B810CB" w:rsidRPr="00AD5078" w:rsidRDefault="00B810CB" w:rsidP="004C741C">
            <w:pPr>
              <w:spacing w:after="0" w:line="240" w:lineRule="auto"/>
              <w:ind w:left="720"/>
              <w:jc w:val="both"/>
              <w:rPr>
                <w:rFonts w:ascii="Aptos" w:eastAsia="Times New Roman" w:hAnsi="Aptos" w:cs="Times New Roman"/>
                <w:b/>
                <w:bCs/>
                <w:sz w:val="24"/>
                <w:szCs w:val="24"/>
                <w:lang w:val="es-ES_tradnl"/>
              </w:rPr>
            </w:pPr>
            <w:r w:rsidRPr="00AD5078">
              <w:rPr>
                <w:rFonts w:ascii="Aptos" w:eastAsia="Times New Roman" w:hAnsi="Aptos" w:cs="Times New Roman"/>
                <w:sz w:val="24"/>
                <w:szCs w:val="24"/>
                <w:lang w:val="es-ES_tradnl"/>
              </w:rPr>
              <w:t>El agua para consumo humano y soberanía alimentaria tendrá prioridad por encima de cualquier proyecto de hidrógeno.</w:t>
            </w:r>
          </w:p>
          <w:p w14:paraId="1AA68B8D" w14:textId="77777777" w:rsidR="00B810CB" w:rsidRPr="00AD5078" w:rsidRDefault="00B810CB" w:rsidP="004C741C">
            <w:pPr>
              <w:jc w:val="both"/>
              <w:rPr>
                <w:rFonts w:ascii="Aptos" w:eastAsia="Times New Roman" w:hAnsi="Aptos" w:cs="Times New Roman"/>
                <w:sz w:val="24"/>
                <w:szCs w:val="24"/>
                <w:lang w:val="es-ES_tradnl"/>
              </w:rPr>
            </w:pPr>
          </w:p>
          <w:p w14:paraId="024468E8" w14:textId="77777777" w:rsidR="00B810CB" w:rsidRPr="00AD5078" w:rsidRDefault="00B810CB" w:rsidP="004C741C">
            <w:pPr>
              <w:jc w:val="both"/>
              <w:rPr>
                <w:rFonts w:ascii="Aptos" w:eastAsia="Times New Roman" w:hAnsi="Aptos" w:cs="Times New Roman"/>
                <w:sz w:val="24"/>
                <w:szCs w:val="24"/>
                <w:lang w:val="es-ES_tradnl"/>
              </w:rPr>
            </w:pPr>
          </w:p>
        </w:tc>
        <w:tc>
          <w:tcPr>
            <w:tcW w:w="3402" w:type="dxa"/>
          </w:tcPr>
          <w:p w14:paraId="1579471A" w14:textId="77777777" w:rsidR="00B810CB" w:rsidRPr="00AD5078" w:rsidRDefault="00B810CB" w:rsidP="004C741C">
            <w:pPr>
              <w:jc w:val="both"/>
              <w:rPr>
                <w:rFonts w:ascii="Aptos" w:eastAsia="Times New Roman" w:hAnsi="Aptos" w:cs="Times New Roman"/>
                <w:sz w:val="24"/>
                <w:szCs w:val="24"/>
                <w:lang w:val="es-ES_tradnl"/>
              </w:rPr>
            </w:pPr>
            <w:r w:rsidRPr="00AD5078">
              <w:rPr>
                <w:rFonts w:ascii="Aptos" w:eastAsia="Times New Roman" w:hAnsi="Aptos" w:cs="Times New Roman"/>
                <w:sz w:val="24"/>
                <w:szCs w:val="24"/>
                <w:lang w:val="es-ES_tradnl"/>
              </w:rPr>
              <w:lastRenderedPageBreak/>
              <w:t>Sin modificaciones</w:t>
            </w:r>
          </w:p>
        </w:tc>
      </w:tr>
      <w:tr w:rsidR="00B810CB" w:rsidRPr="00AD5078" w14:paraId="0931B511" w14:textId="77777777" w:rsidTr="004C741C">
        <w:trPr>
          <w:trHeight w:val="321"/>
          <w:jc w:val="center"/>
        </w:trPr>
        <w:tc>
          <w:tcPr>
            <w:tcW w:w="1016" w:type="dxa"/>
          </w:tcPr>
          <w:p w14:paraId="48CC767B" w14:textId="77777777" w:rsidR="00B810CB" w:rsidRPr="00AD5078" w:rsidRDefault="00B810CB" w:rsidP="004C741C">
            <w:pPr>
              <w:jc w:val="both"/>
              <w:rPr>
                <w:rFonts w:ascii="Aptos" w:eastAsia="Times New Roman" w:hAnsi="Aptos" w:cs="Times New Roman"/>
                <w:b/>
                <w:bCs/>
                <w:sz w:val="24"/>
                <w:szCs w:val="24"/>
                <w:lang w:val="es-ES_tradnl"/>
              </w:rPr>
            </w:pPr>
            <w:r w:rsidRPr="00AD5078">
              <w:rPr>
                <w:rFonts w:ascii="Aptos" w:eastAsia="Times New Roman" w:hAnsi="Aptos" w:cs="Times New Roman"/>
                <w:b/>
                <w:bCs/>
                <w:sz w:val="24"/>
                <w:szCs w:val="24"/>
                <w:lang w:val="es-ES_tradnl"/>
              </w:rPr>
              <w:t>5</w:t>
            </w:r>
          </w:p>
        </w:tc>
        <w:tc>
          <w:tcPr>
            <w:tcW w:w="7484" w:type="dxa"/>
          </w:tcPr>
          <w:p w14:paraId="66EA368E" w14:textId="77777777" w:rsidR="00B810CB" w:rsidRPr="00AD5078" w:rsidRDefault="00B810CB" w:rsidP="004C741C">
            <w:pPr>
              <w:spacing w:after="0" w:line="240" w:lineRule="auto"/>
              <w:jc w:val="both"/>
              <w:rPr>
                <w:rFonts w:ascii="Aptos" w:eastAsia="Times New Roman" w:hAnsi="Aptos" w:cs="Times New Roman"/>
                <w:sz w:val="24"/>
                <w:szCs w:val="24"/>
                <w:lang w:val="es-ES_tradnl"/>
              </w:rPr>
            </w:pPr>
            <w:r w:rsidRPr="00AD5078">
              <w:rPr>
                <w:rFonts w:ascii="Aptos" w:eastAsia="Times New Roman" w:hAnsi="Aptos" w:cs="Times New Roman"/>
                <w:b/>
                <w:bCs/>
                <w:sz w:val="24"/>
                <w:szCs w:val="24"/>
                <w:lang w:val="es-ES_tradnl"/>
              </w:rPr>
              <w:t xml:space="preserve">Principio de libertad de empresa. </w:t>
            </w:r>
            <w:r w:rsidRPr="00AD5078">
              <w:rPr>
                <w:rFonts w:ascii="Aptos" w:eastAsia="Times New Roman" w:hAnsi="Aptos" w:cs="Times New Roman"/>
                <w:sz w:val="24"/>
                <w:szCs w:val="24"/>
                <w:lang w:val="es-ES_tradnl"/>
              </w:rPr>
              <w:t>En ejercicio del principio de libertad de empresa establecido en la Constitución y la Ley, todas las personas tienen derecho a desarrollar las actividades de producción, transporte, distribución, almacenamiento, comercialización y uso de hidrógeno y sus derivados.</w:t>
            </w:r>
          </w:p>
          <w:p w14:paraId="423BD8AD" w14:textId="77777777" w:rsidR="00B810CB" w:rsidRPr="00AD5078" w:rsidRDefault="00B810CB" w:rsidP="004C741C">
            <w:pPr>
              <w:jc w:val="both"/>
              <w:rPr>
                <w:rFonts w:ascii="Aptos" w:eastAsia="Times New Roman" w:hAnsi="Aptos" w:cs="Times New Roman"/>
                <w:sz w:val="24"/>
                <w:szCs w:val="24"/>
                <w:lang w:val="es-ES_tradnl"/>
              </w:rPr>
            </w:pPr>
          </w:p>
        </w:tc>
        <w:tc>
          <w:tcPr>
            <w:tcW w:w="3402" w:type="dxa"/>
          </w:tcPr>
          <w:p w14:paraId="0CF43EB1" w14:textId="77777777" w:rsidR="00B810CB" w:rsidRPr="00AD5078" w:rsidRDefault="00B810CB" w:rsidP="004C741C">
            <w:pPr>
              <w:jc w:val="both"/>
              <w:rPr>
                <w:rFonts w:ascii="Aptos" w:eastAsia="Times New Roman" w:hAnsi="Aptos" w:cs="Times New Roman"/>
                <w:sz w:val="24"/>
                <w:szCs w:val="24"/>
                <w:lang w:val="es-ES_tradnl"/>
              </w:rPr>
            </w:pPr>
            <w:r w:rsidRPr="00AD5078">
              <w:rPr>
                <w:rFonts w:ascii="Aptos" w:eastAsia="Times New Roman" w:hAnsi="Aptos" w:cs="Times New Roman"/>
                <w:sz w:val="24"/>
                <w:szCs w:val="24"/>
                <w:lang w:val="es-ES_tradnl"/>
              </w:rPr>
              <w:t>Sin modificaciones</w:t>
            </w:r>
          </w:p>
          <w:p w14:paraId="1115B79D" w14:textId="77777777" w:rsidR="00B810CB" w:rsidRPr="00AD5078" w:rsidRDefault="00B810CB" w:rsidP="004C741C">
            <w:pPr>
              <w:jc w:val="both"/>
              <w:rPr>
                <w:rFonts w:ascii="Aptos" w:eastAsia="Times New Roman" w:hAnsi="Aptos" w:cs="Times New Roman"/>
                <w:sz w:val="24"/>
                <w:szCs w:val="24"/>
                <w:lang w:val="es-ES_tradnl"/>
              </w:rPr>
            </w:pPr>
          </w:p>
        </w:tc>
      </w:tr>
      <w:tr w:rsidR="00B810CB" w:rsidRPr="00AD5078" w14:paraId="1CFC7157" w14:textId="77777777" w:rsidTr="004C741C">
        <w:trPr>
          <w:trHeight w:val="303"/>
          <w:jc w:val="center"/>
        </w:trPr>
        <w:tc>
          <w:tcPr>
            <w:tcW w:w="1016" w:type="dxa"/>
          </w:tcPr>
          <w:p w14:paraId="52FBF509" w14:textId="77777777" w:rsidR="00B810CB" w:rsidRPr="00AD5078" w:rsidRDefault="00B810CB" w:rsidP="004C741C">
            <w:pPr>
              <w:jc w:val="both"/>
              <w:rPr>
                <w:rFonts w:ascii="Aptos" w:eastAsia="Times New Roman" w:hAnsi="Aptos" w:cs="Times New Roman"/>
                <w:b/>
                <w:bCs/>
                <w:sz w:val="24"/>
                <w:szCs w:val="24"/>
                <w:lang w:val="es-ES_tradnl"/>
              </w:rPr>
            </w:pPr>
            <w:r w:rsidRPr="00AD5078">
              <w:rPr>
                <w:rFonts w:ascii="Aptos" w:eastAsia="Times New Roman" w:hAnsi="Aptos" w:cs="Times New Roman"/>
                <w:b/>
                <w:bCs/>
                <w:sz w:val="24"/>
                <w:szCs w:val="24"/>
                <w:lang w:val="es-ES_tradnl"/>
              </w:rPr>
              <w:lastRenderedPageBreak/>
              <w:t>6</w:t>
            </w:r>
          </w:p>
        </w:tc>
        <w:tc>
          <w:tcPr>
            <w:tcW w:w="7484" w:type="dxa"/>
          </w:tcPr>
          <w:p w14:paraId="26F44C63" w14:textId="77777777" w:rsidR="00B810CB" w:rsidRPr="00AD5078" w:rsidRDefault="00B810CB" w:rsidP="004C741C">
            <w:pPr>
              <w:spacing w:after="0" w:line="240" w:lineRule="auto"/>
              <w:jc w:val="both"/>
              <w:rPr>
                <w:rFonts w:ascii="Aptos" w:eastAsia="Times New Roman" w:hAnsi="Aptos" w:cs="Times New Roman"/>
                <w:sz w:val="24"/>
                <w:szCs w:val="24"/>
                <w:lang w:val="es-ES_tradnl"/>
              </w:rPr>
            </w:pPr>
            <w:r w:rsidRPr="00AD5078">
              <w:rPr>
                <w:rFonts w:ascii="Aptos" w:eastAsia="Times New Roman" w:hAnsi="Aptos" w:cs="Times New Roman"/>
                <w:b/>
                <w:bCs/>
                <w:sz w:val="24"/>
                <w:szCs w:val="24"/>
                <w:lang w:val="es-ES_tradnl"/>
              </w:rPr>
              <w:t xml:space="preserve">Reglamentación del hidrógeno. </w:t>
            </w:r>
            <w:r w:rsidRPr="00AD5078">
              <w:rPr>
                <w:rFonts w:ascii="Aptos" w:eastAsia="Times New Roman" w:hAnsi="Aptos" w:cs="Times New Roman"/>
                <w:sz w:val="24"/>
                <w:szCs w:val="24"/>
                <w:lang w:val="es-ES_tradnl"/>
              </w:rPr>
              <w:t>El Gobierno Nacional, con la coordinación del Ministerio de Minas y Energía establecerá vía decreto parámetros para la promoción y adopción del hidrógeno y derivados en el país.</w:t>
            </w:r>
          </w:p>
          <w:p w14:paraId="05233DF2" w14:textId="77777777" w:rsidR="00B810CB" w:rsidRPr="00AD5078" w:rsidRDefault="00B810CB" w:rsidP="004C741C">
            <w:pPr>
              <w:spacing w:after="0" w:line="240" w:lineRule="auto"/>
              <w:jc w:val="both"/>
              <w:rPr>
                <w:rFonts w:ascii="Aptos" w:eastAsia="Times New Roman" w:hAnsi="Aptos" w:cs="Times New Roman"/>
                <w:sz w:val="24"/>
                <w:szCs w:val="24"/>
                <w:lang w:val="es-ES_tradnl"/>
              </w:rPr>
            </w:pPr>
            <w:r w:rsidRPr="00AD5078">
              <w:rPr>
                <w:rFonts w:ascii="Aptos" w:eastAsia="Times New Roman" w:hAnsi="Aptos" w:cs="Times New Roman"/>
                <w:sz w:val="24"/>
                <w:szCs w:val="24"/>
                <w:lang w:val="es-ES_tradnl"/>
              </w:rPr>
              <w:t xml:space="preserve">Dicha promoción e implementación se realizará con enfoque en el encadenamiento productivo del hidrógeno de bajas emisiones, en los procesos de producción, almacenamiento, transporte, comercialización, distribución, usos finales y exportación, propendiendo por el desarrollo de toda la cadena productiva del hidrógeno de bajas emisiones en el país. Su aplicación deberá contener los potenciales usos y casos de aplicación, basados en el sistema de capacidades a nivel nacional, manteniendo coherencia con la atractividad de los mercados destino, tanto a nivel local como internacional. Se priorizará la promoción e implementación de acuerdo con el potencial de reducción de emisiones de gases de efecto invernadero, así como la </w:t>
            </w:r>
            <w:proofErr w:type="spellStart"/>
            <w:r w:rsidRPr="00AD5078">
              <w:rPr>
                <w:rFonts w:ascii="Aptos" w:eastAsia="Times New Roman" w:hAnsi="Aptos" w:cs="Times New Roman"/>
                <w:sz w:val="24"/>
                <w:szCs w:val="24"/>
                <w:lang w:val="es-ES_tradnl"/>
              </w:rPr>
              <w:t>costo</w:t>
            </w:r>
            <w:proofErr w:type="spellEnd"/>
            <w:r w:rsidRPr="00AD5078">
              <w:rPr>
                <w:rFonts w:ascii="Aptos" w:eastAsia="Times New Roman" w:hAnsi="Aptos" w:cs="Times New Roman"/>
                <w:sz w:val="24"/>
                <w:szCs w:val="24"/>
                <w:lang w:val="es-ES_tradnl"/>
              </w:rPr>
              <w:t xml:space="preserve"> – eficiencia respecto a alternativas de descarbonización.</w:t>
            </w:r>
          </w:p>
          <w:p w14:paraId="340C276F" w14:textId="77777777" w:rsidR="00B810CB" w:rsidRPr="00AD5078" w:rsidRDefault="00B810CB" w:rsidP="004C741C">
            <w:pPr>
              <w:spacing w:after="0" w:line="240" w:lineRule="auto"/>
              <w:jc w:val="both"/>
              <w:rPr>
                <w:rFonts w:ascii="Aptos" w:eastAsia="Times New Roman" w:hAnsi="Aptos" w:cs="Times New Roman"/>
                <w:sz w:val="24"/>
                <w:szCs w:val="24"/>
                <w:lang w:val="es-ES_tradnl"/>
              </w:rPr>
            </w:pPr>
            <w:r w:rsidRPr="00AD5078">
              <w:rPr>
                <w:rFonts w:ascii="Aptos" w:eastAsia="Times New Roman" w:hAnsi="Aptos" w:cs="Times New Roman"/>
                <w:sz w:val="24"/>
                <w:szCs w:val="24"/>
                <w:lang w:val="es-ES_tradnl"/>
              </w:rPr>
              <w:t>Deberá contener la reglamentación y los lineamientos técnicos, de seguridad, trazabilidad y calidad con los cuales debe cumplir el hidrógeno de bajas emisiones para sus diferentes usos aplicables en Colombia, así como las especificaciones y requisitos técnicos que deberán cumplir los agentes de mercado en la cadena del hidrógeno entre otras disposiciones requeridas para incentivar la incorporación del hidrógeno de bajas emisiones en la matriz energética nacional y en defensa del usuario.</w:t>
            </w:r>
          </w:p>
          <w:p w14:paraId="5151A1D8" w14:textId="77777777" w:rsidR="00B810CB" w:rsidRPr="00AD5078" w:rsidRDefault="00B810CB" w:rsidP="004C741C">
            <w:pPr>
              <w:spacing w:after="0" w:line="240" w:lineRule="auto"/>
              <w:jc w:val="both"/>
              <w:rPr>
                <w:rFonts w:ascii="Aptos" w:eastAsia="Times New Roman" w:hAnsi="Aptos" w:cs="Times New Roman"/>
                <w:sz w:val="24"/>
                <w:szCs w:val="24"/>
                <w:lang w:val="es-ES_tradnl"/>
              </w:rPr>
            </w:pPr>
          </w:p>
          <w:p w14:paraId="43BAB11D" w14:textId="77777777" w:rsidR="00B810CB" w:rsidRPr="00AD5078" w:rsidRDefault="00B810CB" w:rsidP="004C741C">
            <w:pPr>
              <w:spacing w:after="0" w:line="240" w:lineRule="auto"/>
              <w:jc w:val="both"/>
              <w:rPr>
                <w:rFonts w:ascii="Aptos" w:eastAsia="Times New Roman" w:hAnsi="Aptos" w:cs="Times New Roman"/>
                <w:sz w:val="24"/>
                <w:szCs w:val="24"/>
                <w:lang w:val="es-ES_tradnl"/>
              </w:rPr>
            </w:pPr>
            <w:r w:rsidRPr="00AD5078">
              <w:rPr>
                <w:rFonts w:ascii="Aptos" w:eastAsia="Times New Roman" w:hAnsi="Aptos" w:cs="Times New Roman"/>
                <w:b/>
                <w:bCs/>
                <w:sz w:val="24"/>
                <w:szCs w:val="24"/>
                <w:lang w:val="es-ES_tradnl"/>
              </w:rPr>
              <w:t xml:space="preserve">Parágrafo 1°. </w:t>
            </w:r>
            <w:r w:rsidRPr="00AD5078">
              <w:rPr>
                <w:rFonts w:ascii="Aptos" w:eastAsia="Times New Roman" w:hAnsi="Aptos" w:cs="Times New Roman"/>
                <w:sz w:val="24"/>
                <w:szCs w:val="24"/>
                <w:lang w:val="es-ES_tradnl"/>
              </w:rPr>
              <w:t>La Comisión de Regulación de Energía y Gas deberá establecer el marco regulatorio que habilite la incorporación del hidrógeno de bajas emisiones en la matriz energética del país, cuando su uso y el de sus productos derivados se encuentren destinados como combustible limpio o como vector energético en brindar confiabilidad a la matriz energética y al sistema eléctrico colombiano como fuente de respaldo y servicio complementario. Dicho marco regulatorio deberá determinar la estructura económica tarifaria para precios del hidrógeno.</w:t>
            </w:r>
          </w:p>
          <w:p w14:paraId="6C29709C" w14:textId="77777777" w:rsidR="00B810CB" w:rsidRPr="00AD5078" w:rsidRDefault="00B810CB" w:rsidP="004C741C">
            <w:pPr>
              <w:spacing w:after="0" w:line="240" w:lineRule="auto"/>
              <w:jc w:val="both"/>
              <w:rPr>
                <w:rFonts w:ascii="Aptos" w:eastAsia="Times New Roman" w:hAnsi="Aptos" w:cs="Times New Roman"/>
                <w:sz w:val="24"/>
                <w:szCs w:val="24"/>
                <w:lang w:val="es-ES_tradnl"/>
              </w:rPr>
            </w:pPr>
          </w:p>
          <w:p w14:paraId="0CD21107" w14:textId="77777777" w:rsidR="00B810CB" w:rsidRPr="00AD5078" w:rsidRDefault="00B810CB" w:rsidP="004C741C">
            <w:pPr>
              <w:jc w:val="both"/>
              <w:rPr>
                <w:rFonts w:ascii="Aptos" w:eastAsia="Times New Roman" w:hAnsi="Aptos" w:cs="Times New Roman"/>
                <w:sz w:val="24"/>
                <w:szCs w:val="24"/>
                <w:lang w:val="es-ES_tradnl"/>
              </w:rPr>
            </w:pPr>
            <w:r w:rsidRPr="00AD5078">
              <w:rPr>
                <w:rFonts w:ascii="Aptos" w:eastAsia="Times New Roman" w:hAnsi="Aptos" w:cs="Times New Roman"/>
                <w:b/>
                <w:bCs/>
                <w:sz w:val="24"/>
                <w:szCs w:val="24"/>
                <w:lang w:val="es-ES_tradnl"/>
              </w:rPr>
              <w:t xml:space="preserve">Parágrafo 2°. </w:t>
            </w:r>
            <w:r w:rsidRPr="00AD5078">
              <w:rPr>
                <w:rFonts w:ascii="Aptos" w:eastAsia="Times New Roman" w:hAnsi="Aptos" w:cs="Times New Roman"/>
                <w:sz w:val="24"/>
                <w:szCs w:val="24"/>
                <w:lang w:val="es-ES_tradnl"/>
              </w:rPr>
              <w:t xml:space="preserve">Para garantizar la transparencia, trazabilidad y control de calidad ambiental, el Gobierno Nacional deberá adoptar un sistema de certificación de origen del hidrógeno de bajas emisiones que incluya información sobre la fuente </w:t>
            </w:r>
            <w:proofErr w:type="gramStart"/>
            <w:r w:rsidRPr="00AD5078">
              <w:rPr>
                <w:rFonts w:ascii="Aptos" w:eastAsia="Times New Roman" w:hAnsi="Aptos" w:cs="Times New Roman"/>
                <w:sz w:val="24"/>
                <w:szCs w:val="24"/>
                <w:lang w:val="es-ES_tradnl"/>
              </w:rPr>
              <w:t>energética  utilizada</w:t>
            </w:r>
            <w:proofErr w:type="gramEnd"/>
            <w:r w:rsidRPr="00AD5078">
              <w:rPr>
                <w:rFonts w:ascii="Aptos" w:eastAsia="Times New Roman" w:hAnsi="Aptos" w:cs="Times New Roman"/>
                <w:sz w:val="24"/>
                <w:szCs w:val="24"/>
                <w:lang w:val="es-ES_tradnl"/>
              </w:rPr>
              <w:t xml:space="preserve">,  factores  de  emisión  </w:t>
            </w:r>
            <w:r w:rsidRPr="00AD5078">
              <w:rPr>
                <w:rFonts w:ascii="Aptos" w:eastAsia="Times New Roman" w:hAnsi="Aptos" w:cs="Times New Roman"/>
                <w:sz w:val="24"/>
                <w:szCs w:val="24"/>
                <w:lang w:val="es-ES_tradnl"/>
              </w:rPr>
              <w:lastRenderedPageBreak/>
              <w:t>asociados  a  cada  proceso y un mecanismo de auditoría independiente. Este sistema deberá estar armonizado con los mecanismos internacionales de certificación de hidrógeno limpio.</w:t>
            </w:r>
          </w:p>
          <w:p w14:paraId="71E3F2DC" w14:textId="77777777" w:rsidR="00B810CB" w:rsidRPr="00AD5078" w:rsidRDefault="00B810CB" w:rsidP="004C741C">
            <w:pPr>
              <w:spacing w:after="0" w:line="240" w:lineRule="auto"/>
              <w:jc w:val="both"/>
              <w:rPr>
                <w:rFonts w:ascii="Aptos" w:eastAsia="Times New Roman" w:hAnsi="Aptos" w:cs="Times New Roman"/>
                <w:sz w:val="24"/>
                <w:szCs w:val="24"/>
                <w:lang w:val="es-ES_tradnl"/>
              </w:rPr>
            </w:pPr>
          </w:p>
          <w:p w14:paraId="50E8E066" w14:textId="77777777" w:rsidR="00B810CB" w:rsidRPr="00AD5078" w:rsidRDefault="00B810CB" w:rsidP="004C741C">
            <w:pPr>
              <w:spacing w:after="0" w:line="240" w:lineRule="auto"/>
              <w:jc w:val="both"/>
              <w:rPr>
                <w:rFonts w:ascii="Aptos" w:eastAsia="Times New Roman" w:hAnsi="Aptos" w:cs="Times New Roman"/>
                <w:strike/>
                <w:sz w:val="24"/>
                <w:szCs w:val="24"/>
                <w:lang w:val="es-ES_tradnl"/>
              </w:rPr>
            </w:pPr>
            <w:r w:rsidRPr="00AD5078">
              <w:rPr>
                <w:rFonts w:ascii="Aptos" w:eastAsia="Times New Roman" w:hAnsi="Aptos" w:cs="Times New Roman"/>
                <w:b/>
                <w:bCs/>
                <w:strike/>
                <w:sz w:val="24"/>
                <w:szCs w:val="24"/>
                <w:lang w:val="es-ES_tradnl"/>
              </w:rPr>
              <w:t xml:space="preserve">Parágrafo 3°. </w:t>
            </w:r>
            <w:r w:rsidRPr="00AD5078">
              <w:rPr>
                <w:rFonts w:ascii="Aptos" w:eastAsia="Times New Roman" w:hAnsi="Aptos" w:cs="Times New Roman"/>
                <w:strike/>
                <w:sz w:val="24"/>
                <w:szCs w:val="24"/>
                <w:lang w:val="es-ES_tradnl"/>
              </w:rPr>
              <w:t xml:space="preserve">Para consolidar sistemas energéticos limpios y garantizar la disponibilidad de aguar superficial, subsuperficial y subterránea, en ninguna de las modalidades de extracción de hidrógeno, se podrán emplear técnicas de </w:t>
            </w:r>
            <w:proofErr w:type="spellStart"/>
            <w:r w:rsidRPr="00AD5078">
              <w:rPr>
                <w:rFonts w:ascii="Aptos" w:eastAsia="Times New Roman" w:hAnsi="Aptos" w:cs="Times New Roman"/>
                <w:strike/>
                <w:sz w:val="24"/>
                <w:szCs w:val="24"/>
                <w:lang w:val="es-ES_tradnl"/>
              </w:rPr>
              <w:t>fracturamiento</w:t>
            </w:r>
            <w:proofErr w:type="spellEnd"/>
            <w:r w:rsidRPr="00AD5078">
              <w:rPr>
                <w:rFonts w:ascii="Aptos" w:eastAsia="Times New Roman" w:hAnsi="Aptos" w:cs="Times New Roman"/>
                <w:strike/>
                <w:sz w:val="24"/>
                <w:szCs w:val="24"/>
                <w:lang w:val="es-ES_tradnl"/>
              </w:rPr>
              <w:t xml:space="preserve"> hidráulico en rocas generadoras, arenas bituminosas o hidratos de metano.</w:t>
            </w:r>
          </w:p>
          <w:p w14:paraId="10F59A46" w14:textId="77777777" w:rsidR="00B810CB" w:rsidRPr="00AD5078" w:rsidRDefault="00B810CB" w:rsidP="004C741C">
            <w:pPr>
              <w:spacing w:after="0" w:line="240" w:lineRule="auto"/>
              <w:jc w:val="both"/>
              <w:rPr>
                <w:rFonts w:ascii="Aptos" w:eastAsia="Times New Roman" w:hAnsi="Aptos" w:cs="Times New Roman"/>
                <w:sz w:val="24"/>
                <w:szCs w:val="24"/>
                <w:lang w:val="es-ES_tradnl"/>
              </w:rPr>
            </w:pPr>
          </w:p>
          <w:p w14:paraId="392C3484" w14:textId="77777777" w:rsidR="00B810CB" w:rsidRPr="00AD5078" w:rsidRDefault="00B810CB" w:rsidP="004C741C">
            <w:pPr>
              <w:jc w:val="both"/>
              <w:rPr>
                <w:rFonts w:ascii="Aptos" w:eastAsia="Times New Roman" w:hAnsi="Aptos" w:cs="Times New Roman"/>
                <w:sz w:val="24"/>
                <w:szCs w:val="24"/>
                <w:lang w:val="es-ES_tradnl"/>
              </w:rPr>
            </w:pPr>
          </w:p>
        </w:tc>
        <w:tc>
          <w:tcPr>
            <w:tcW w:w="3402" w:type="dxa"/>
          </w:tcPr>
          <w:p w14:paraId="6FE7718F" w14:textId="77777777" w:rsidR="00B810CB" w:rsidRPr="00AD5078" w:rsidRDefault="00B810CB" w:rsidP="004C741C">
            <w:pPr>
              <w:spacing w:after="0" w:line="257" w:lineRule="auto"/>
              <w:ind w:right="82"/>
              <w:jc w:val="both"/>
              <w:rPr>
                <w:rFonts w:ascii="Aptos" w:eastAsia="Times New Roman" w:hAnsi="Aptos" w:cs="Times New Roman"/>
                <w:sz w:val="24"/>
                <w:szCs w:val="24"/>
                <w:lang w:val="es-ES_tradnl"/>
              </w:rPr>
            </w:pPr>
          </w:p>
        </w:tc>
      </w:tr>
      <w:tr w:rsidR="00B810CB" w:rsidRPr="00AD5078" w14:paraId="382F6AD2" w14:textId="77777777" w:rsidTr="004C741C">
        <w:trPr>
          <w:trHeight w:val="303"/>
          <w:jc w:val="center"/>
        </w:trPr>
        <w:tc>
          <w:tcPr>
            <w:tcW w:w="1016" w:type="dxa"/>
          </w:tcPr>
          <w:p w14:paraId="1B94C9C9" w14:textId="77777777" w:rsidR="00B810CB" w:rsidRPr="00AD5078" w:rsidRDefault="00B810CB" w:rsidP="004C741C">
            <w:pPr>
              <w:jc w:val="both"/>
              <w:rPr>
                <w:rFonts w:ascii="Aptos" w:eastAsia="Times New Roman" w:hAnsi="Aptos" w:cs="Times New Roman"/>
                <w:b/>
                <w:bCs/>
                <w:sz w:val="24"/>
                <w:szCs w:val="24"/>
                <w:lang w:val="es-ES_tradnl"/>
              </w:rPr>
            </w:pPr>
            <w:r w:rsidRPr="00AD5078">
              <w:rPr>
                <w:rFonts w:ascii="Aptos" w:eastAsia="Times New Roman" w:hAnsi="Aptos" w:cs="Times New Roman"/>
                <w:b/>
                <w:bCs/>
                <w:sz w:val="24"/>
                <w:szCs w:val="24"/>
                <w:lang w:val="es-ES_tradnl"/>
              </w:rPr>
              <w:t>7</w:t>
            </w:r>
          </w:p>
        </w:tc>
        <w:tc>
          <w:tcPr>
            <w:tcW w:w="7484" w:type="dxa"/>
          </w:tcPr>
          <w:p w14:paraId="360DD9D2" w14:textId="77777777" w:rsidR="00B810CB" w:rsidRPr="00AD5078" w:rsidRDefault="00B810CB" w:rsidP="004C741C">
            <w:pPr>
              <w:spacing w:after="0" w:line="240" w:lineRule="auto"/>
              <w:jc w:val="both"/>
              <w:rPr>
                <w:rFonts w:ascii="Aptos" w:eastAsia="Times New Roman" w:hAnsi="Aptos" w:cs="Times New Roman"/>
                <w:sz w:val="24"/>
                <w:szCs w:val="24"/>
                <w:lang w:val="es-ES_tradnl"/>
              </w:rPr>
            </w:pPr>
            <w:r w:rsidRPr="00AD5078">
              <w:rPr>
                <w:rFonts w:ascii="Aptos" w:eastAsia="Times New Roman" w:hAnsi="Aptos" w:cs="Times New Roman"/>
                <w:b/>
                <w:bCs/>
                <w:sz w:val="24"/>
                <w:szCs w:val="24"/>
                <w:lang w:val="es-ES_tradnl"/>
              </w:rPr>
              <w:t xml:space="preserve">Umbral de bajas emisiones. </w:t>
            </w:r>
            <w:r w:rsidRPr="00AD5078">
              <w:rPr>
                <w:rFonts w:ascii="Aptos" w:eastAsia="Times New Roman" w:hAnsi="Aptos" w:cs="Times New Roman"/>
                <w:sz w:val="24"/>
                <w:szCs w:val="24"/>
                <w:lang w:val="es-ES_tradnl"/>
              </w:rPr>
              <w:t>El Ministerio de Ambiente y Desarrollo Sostenible en coordinación con el Ministerio de Minas y Energía definirán el umbral máximo de emisiones de gases de efecto invernadero (GEI) para el hidrógeno de bajas emisiones, considerando objetivos nacionales de descarbonización de la matriz energética, la viabilidad técnica y la viabilidad económica de alcanzar dicho umbral.</w:t>
            </w:r>
          </w:p>
          <w:p w14:paraId="4C6A10CD" w14:textId="77777777" w:rsidR="00B810CB" w:rsidRPr="00AD5078" w:rsidRDefault="00B810CB" w:rsidP="004C741C">
            <w:pPr>
              <w:spacing w:after="0" w:line="240" w:lineRule="auto"/>
              <w:jc w:val="both"/>
              <w:rPr>
                <w:rFonts w:ascii="Aptos" w:eastAsia="Times New Roman" w:hAnsi="Aptos" w:cs="Times New Roman"/>
                <w:sz w:val="24"/>
                <w:szCs w:val="24"/>
                <w:lang w:val="es-ES_tradnl"/>
              </w:rPr>
            </w:pPr>
            <w:r w:rsidRPr="00AD5078">
              <w:rPr>
                <w:rFonts w:ascii="Aptos" w:eastAsia="Times New Roman" w:hAnsi="Aptos" w:cs="Times New Roman"/>
                <w:b/>
                <w:bCs/>
                <w:sz w:val="24"/>
                <w:szCs w:val="24"/>
                <w:lang w:val="es-ES_tradnl"/>
              </w:rPr>
              <w:t xml:space="preserve">Parágrafo. </w:t>
            </w:r>
            <w:r w:rsidRPr="00AD5078">
              <w:rPr>
                <w:rFonts w:ascii="Aptos" w:eastAsia="Times New Roman" w:hAnsi="Aptos" w:cs="Times New Roman"/>
                <w:sz w:val="24"/>
                <w:szCs w:val="24"/>
                <w:lang w:val="es-ES_tradnl"/>
              </w:rPr>
              <w:t>El umbral de emisiones será revisado y, de ser necesario, actualizado periódicamente o con mayor frecuencia si las condiciones tecnológicas, climáticas y otros factores externos lo hacen necesario, buscando garantizar su alineación a los estándares internacionales disponibles en la materia.</w:t>
            </w:r>
          </w:p>
          <w:p w14:paraId="1C135534" w14:textId="77777777" w:rsidR="00B810CB" w:rsidRPr="00AD5078" w:rsidRDefault="00B810CB" w:rsidP="004C741C">
            <w:pPr>
              <w:jc w:val="both"/>
              <w:rPr>
                <w:rFonts w:ascii="Aptos" w:eastAsia="Times New Roman" w:hAnsi="Aptos" w:cs="Times New Roman"/>
                <w:sz w:val="24"/>
                <w:szCs w:val="24"/>
                <w:lang w:val="es-ES_tradnl"/>
              </w:rPr>
            </w:pPr>
          </w:p>
        </w:tc>
        <w:tc>
          <w:tcPr>
            <w:tcW w:w="3402" w:type="dxa"/>
          </w:tcPr>
          <w:p w14:paraId="2CB85F5E" w14:textId="77777777" w:rsidR="00B810CB" w:rsidRPr="00AD5078" w:rsidRDefault="00B810CB" w:rsidP="004C741C">
            <w:pPr>
              <w:jc w:val="both"/>
              <w:rPr>
                <w:rFonts w:ascii="Aptos" w:eastAsia="Times New Roman" w:hAnsi="Aptos" w:cs="Times New Roman"/>
                <w:sz w:val="24"/>
                <w:szCs w:val="24"/>
                <w:lang w:val="es-ES_tradnl"/>
              </w:rPr>
            </w:pPr>
            <w:r w:rsidRPr="00AD5078">
              <w:rPr>
                <w:rFonts w:ascii="Aptos" w:eastAsia="Times New Roman" w:hAnsi="Aptos" w:cs="Times New Roman"/>
                <w:sz w:val="24"/>
                <w:szCs w:val="24"/>
                <w:lang w:val="es-ES_tradnl"/>
              </w:rPr>
              <w:t>Sin modificaciones</w:t>
            </w:r>
          </w:p>
        </w:tc>
      </w:tr>
      <w:tr w:rsidR="00B810CB" w:rsidRPr="00AD5078" w14:paraId="1941AC67" w14:textId="77777777" w:rsidTr="004C741C">
        <w:trPr>
          <w:trHeight w:val="303"/>
          <w:jc w:val="center"/>
        </w:trPr>
        <w:tc>
          <w:tcPr>
            <w:tcW w:w="1016" w:type="dxa"/>
          </w:tcPr>
          <w:p w14:paraId="0E21D3AF" w14:textId="77777777" w:rsidR="00B810CB" w:rsidRPr="00AD5078" w:rsidRDefault="00B810CB" w:rsidP="004C741C">
            <w:pPr>
              <w:jc w:val="both"/>
              <w:rPr>
                <w:rFonts w:ascii="Aptos" w:eastAsia="Times New Roman" w:hAnsi="Aptos" w:cs="Times New Roman"/>
                <w:b/>
                <w:bCs/>
                <w:sz w:val="24"/>
                <w:szCs w:val="24"/>
                <w:lang w:val="es-ES_tradnl"/>
              </w:rPr>
            </w:pPr>
            <w:r w:rsidRPr="00AD5078">
              <w:rPr>
                <w:rFonts w:ascii="Aptos" w:eastAsia="Times New Roman" w:hAnsi="Aptos" w:cs="Times New Roman"/>
                <w:b/>
                <w:bCs/>
                <w:sz w:val="24"/>
                <w:szCs w:val="24"/>
                <w:lang w:val="es-ES_tradnl"/>
              </w:rPr>
              <w:t>8</w:t>
            </w:r>
          </w:p>
        </w:tc>
        <w:tc>
          <w:tcPr>
            <w:tcW w:w="7484" w:type="dxa"/>
          </w:tcPr>
          <w:p w14:paraId="42C28870" w14:textId="77777777" w:rsidR="00B810CB" w:rsidRPr="00AD5078" w:rsidRDefault="00B810CB" w:rsidP="004C741C">
            <w:pPr>
              <w:spacing w:after="0" w:line="240" w:lineRule="auto"/>
              <w:jc w:val="both"/>
              <w:rPr>
                <w:rFonts w:ascii="Aptos" w:eastAsia="Times New Roman" w:hAnsi="Aptos" w:cs="Times New Roman"/>
                <w:sz w:val="24"/>
                <w:szCs w:val="24"/>
                <w:lang w:val="es-ES_tradnl"/>
              </w:rPr>
            </w:pPr>
            <w:r w:rsidRPr="00AD5078">
              <w:rPr>
                <w:rFonts w:ascii="Aptos" w:eastAsia="Times New Roman" w:hAnsi="Aptos" w:cs="Times New Roman"/>
                <w:b/>
                <w:bCs/>
                <w:sz w:val="24"/>
                <w:szCs w:val="24"/>
                <w:lang w:val="es-ES_tradnl"/>
              </w:rPr>
              <w:t xml:space="preserve">Comisión técnica intersectorial para la Gobernanza del Hidrógeno. </w:t>
            </w:r>
            <w:r w:rsidRPr="00AD5078">
              <w:rPr>
                <w:rFonts w:ascii="Aptos" w:eastAsia="Times New Roman" w:hAnsi="Aptos" w:cs="Times New Roman"/>
                <w:sz w:val="24"/>
                <w:szCs w:val="24"/>
                <w:lang w:val="es-ES_tradnl"/>
              </w:rPr>
              <w:t>Dentro de los seis (6) meses siguientes a la expedición de la presente ley, créese la Comisión Intersectorial para la Gobernanza del Hidrógeno, en adelante la Comisión la cual tiene por objeto la coordinación, articulación, impulso y seguimiento de los avances del país y de los diferentes sectores de gobierno, a fin de propender por el desarrollo del mercado del Hidrógeno y/o sus derivados a nivel nacional e internacional, impulsar la transición energética justa, la descarbonización y la reindustrialización.</w:t>
            </w:r>
          </w:p>
          <w:p w14:paraId="3BF8FC71" w14:textId="77777777" w:rsidR="00B810CB" w:rsidRPr="00AD5078" w:rsidRDefault="00B810CB" w:rsidP="004C741C">
            <w:pPr>
              <w:jc w:val="both"/>
              <w:rPr>
                <w:rFonts w:ascii="Aptos" w:eastAsia="Times New Roman" w:hAnsi="Aptos" w:cs="Times New Roman"/>
                <w:sz w:val="24"/>
                <w:szCs w:val="24"/>
                <w:lang w:val="es-ES_tradnl"/>
              </w:rPr>
            </w:pPr>
            <w:r w:rsidRPr="00AD5078">
              <w:rPr>
                <w:rFonts w:ascii="Aptos" w:eastAsia="Times New Roman" w:hAnsi="Aptos" w:cs="Times New Roman"/>
                <w:sz w:val="24"/>
                <w:szCs w:val="24"/>
                <w:lang w:val="es-ES_tradnl"/>
              </w:rPr>
              <w:t>La comisión técnica y de desarrollo sectorial estará integrada por los siguientes miembros:</w:t>
            </w:r>
          </w:p>
          <w:p w14:paraId="59F94707" w14:textId="77777777" w:rsidR="00B810CB" w:rsidRPr="00AD5078" w:rsidRDefault="00B810CB" w:rsidP="004C741C">
            <w:pPr>
              <w:spacing w:after="0" w:line="240" w:lineRule="auto"/>
              <w:jc w:val="both"/>
              <w:rPr>
                <w:rFonts w:ascii="Aptos" w:eastAsia="Times New Roman" w:hAnsi="Aptos" w:cs="Times New Roman"/>
                <w:sz w:val="24"/>
                <w:szCs w:val="24"/>
                <w:lang w:val="es-ES_tradnl"/>
              </w:rPr>
            </w:pPr>
          </w:p>
          <w:p w14:paraId="4B26B86D" w14:textId="77777777" w:rsidR="00B810CB" w:rsidRPr="00AD5078" w:rsidRDefault="00B810CB" w:rsidP="004C741C">
            <w:pPr>
              <w:spacing w:after="0" w:line="240" w:lineRule="auto"/>
              <w:jc w:val="both"/>
              <w:rPr>
                <w:rFonts w:ascii="Aptos" w:eastAsia="Times New Roman" w:hAnsi="Aptos" w:cs="Times New Roman"/>
                <w:sz w:val="24"/>
                <w:szCs w:val="24"/>
                <w:lang w:val="es-ES_tradnl"/>
              </w:rPr>
            </w:pPr>
            <w:r w:rsidRPr="00AD5078">
              <w:rPr>
                <w:rFonts w:ascii="Aptos" w:eastAsia="Times New Roman" w:hAnsi="Aptos" w:cs="Times New Roman"/>
                <w:sz w:val="24"/>
                <w:szCs w:val="24"/>
                <w:lang w:val="es-ES_tradnl"/>
              </w:rPr>
              <w:lastRenderedPageBreak/>
              <w:t xml:space="preserve">a. El (la) Ministro(a) de Minas y Energía, quien la </w:t>
            </w:r>
            <w:proofErr w:type="gramStart"/>
            <w:r w:rsidRPr="00AD5078">
              <w:rPr>
                <w:rFonts w:ascii="Aptos" w:eastAsia="Times New Roman" w:hAnsi="Aptos" w:cs="Times New Roman"/>
                <w:sz w:val="24"/>
                <w:szCs w:val="24"/>
                <w:lang w:val="es-ES_tradnl"/>
              </w:rPr>
              <w:t>presidirá.&lt;</w:t>
            </w:r>
            <w:proofErr w:type="gramEnd"/>
          </w:p>
          <w:p w14:paraId="277E021E" w14:textId="77777777" w:rsidR="00B810CB" w:rsidRPr="00AD5078" w:rsidRDefault="00B810CB" w:rsidP="004C741C">
            <w:pPr>
              <w:spacing w:after="0" w:line="240" w:lineRule="auto"/>
              <w:jc w:val="both"/>
              <w:rPr>
                <w:rFonts w:ascii="Aptos" w:eastAsia="Times New Roman" w:hAnsi="Aptos" w:cs="Times New Roman"/>
                <w:sz w:val="24"/>
                <w:szCs w:val="24"/>
                <w:lang w:val="es-ES_tradnl"/>
              </w:rPr>
            </w:pPr>
            <w:proofErr w:type="spellStart"/>
            <w:proofErr w:type="gramStart"/>
            <w:r w:rsidRPr="00AD5078">
              <w:rPr>
                <w:rFonts w:ascii="Aptos" w:eastAsia="Times New Roman" w:hAnsi="Aptos" w:cs="Times New Roman"/>
                <w:sz w:val="24"/>
                <w:szCs w:val="24"/>
                <w:lang w:val="es-ES_tradnl"/>
              </w:rPr>
              <w:t>b.El</w:t>
            </w:r>
            <w:proofErr w:type="spellEnd"/>
            <w:proofErr w:type="gramEnd"/>
            <w:r w:rsidRPr="00AD5078">
              <w:rPr>
                <w:rFonts w:ascii="Aptos" w:eastAsia="Times New Roman" w:hAnsi="Aptos" w:cs="Times New Roman"/>
                <w:sz w:val="24"/>
                <w:szCs w:val="24"/>
                <w:lang w:val="es-ES_tradnl"/>
              </w:rPr>
              <w:t xml:space="preserve"> (la) Ministro(a) de </w:t>
            </w:r>
            <w:proofErr w:type="spellStart"/>
            <w:r w:rsidRPr="00AD5078">
              <w:rPr>
                <w:rFonts w:ascii="Aptos" w:eastAsia="Times New Roman" w:hAnsi="Aptos" w:cs="Times New Roman"/>
                <w:sz w:val="24"/>
                <w:szCs w:val="24"/>
                <w:lang w:val="es-ES_tradnl"/>
              </w:rPr>
              <w:t>Ambbiente</w:t>
            </w:r>
            <w:proofErr w:type="spellEnd"/>
            <w:r w:rsidRPr="00AD5078">
              <w:rPr>
                <w:rFonts w:ascii="Aptos" w:eastAsia="Times New Roman" w:hAnsi="Aptos" w:cs="Times New Roman"/>
                <w:sz w:val="24"/>
                <w:szCs w:val="24"/>
                <w:lang w:val="es-ES_tradnl"/>
              </w:rPr>
              <w:t xml:space="preserve"> y Desarrollo Sostenible.</w:t>
            </w:r>
          </w:p>
          <w:p w14:paraId="28240E8B" w14:textId="77777777" w:rsidR="00B810CB" w:rsidRPr="00AD5078" w:rsidRDefault="00B810CB" w:rsidP="004C741C">
            <w:pPr>
              <w:spacing w:after="0" w:line="240" w:lineRule="auto"/>
              <w:jc w:val="both"/>
              <w:rPr>
                <w:rFonts w:ascii="Aptos" w:eastAsia="Times New Roman" w:hAnsi="Aptos" w:cs="Times New Roman"/>
                <w:sz w:val="24"/>
                <w:szCs w:val="24"/>
                <w:lang w:val="es-ES_tradnl"/>
              </w:rPr>
            </w:pPr>
            <w:proofErr w:type="spellStart"/>
            <w:r w:rsidRPr="00AD5078">
              <w:rPr>
                <w:rFonts w:ascii="Aptos" w:eastAsia="Times New Roman" w:hAnsi="Aptos" w:cs="Times New Roman"/>
                <w:sz w:val="24"/>
                <w:szCs w:val="24"/>
                <w:lang w:val="es-ES_tradnl"/>
              </w:rPr>
              <w:t>c.El</w:t>
            </w:r>
            <w:proofErr w:type="spellEnd"/>
            <w:r w:rsidRPr="00AD5078">
              <w:rPr>
                <w:rFonts w:ascii="Aptos" w:eastAsia="Times New Roman" w:hAnsi="Aptos" w:cs="Times New Roman"/>
                <w:sz w:val="24"/>
                <w:szCs w:val="24"/>
                <w:lang w:val="es-ES_tradnl"/>
              </w:rPr>
              <w:t xml:space="preserve"> (la) </w:t>
            </w:r>
            <w:proofErr w:type="gramStart"/>
            <w:r w:rsidRPr="00AD5078">
              <w:rPr>
                <w:rFonts w:ascii="Aptos" w:eastAsia="Times New Roman" w:hAnsi="Aptos" w:cs="Times New Roman"/>
                <w:sz w:val="24"/>
                <w:szCs w:val="24"/>
                <w:lang w:val="es-ES_tradnl"/>
              </w:rPr>
              <w:t>Ministro</w:t>
            </w:r>
            <w:proofErr w:type="gramEnd"/>
            <w:r w:rsidRPr="00AD5078">
              <w:rPr>
                <w:rFonts w:ascii="Aptos" w:eastAsia="Times New Roman" w:hAnsi="Aptos" w:cs="Times New Roman"/>
                <w:sz w:val="24"/>
                <w:szCs w:val="24"/>
                <w:lang w:val="es-ES_tradnl"/>
              </w:rPr>
              <w:t>(a) de Hacienda y Crédito Público.</w:t>
            </w:r>
          </w:p>
          <w:p w14:paraId="0A4EB594" w14:textId="77777777" w:rsidR="00B810CB" w:rsidRPr="00AD5078" w:rsidRDefault="00B810CB" w:rsidP="004C741C">
            <w:pPr>
              <w:spacing w:after="0" w:line="240" w:lineRule="auto"/>
              <w:jc w:val="both"/>
              <w:rPr>
                <w:rFonts w:ascii="Aptos" w:eastAsia="Times New Roman" w:hAnsi="Aptos" w:cs="Times New Roman"/>
                <w:sz w:val="24"/>
                <w:szCs w:val="24"/>
                <w:lang w:val="es-ES_tradnl"/>
              </w:rPr>
            </w:pPr>
            <w:proofErr w:type="spellStart"/>
            <w:r w:rsidRPr="00AD5078">
              <w:rPr>
                <w:rFonts w:ascii="Aptos" w:eastAsia="Times New Roman" w:hAnsi="Aptos" w:cs="Times New Roman"/>
                <w:sz w:val="24"/>
                <w:szCs w:val="24"/>
                <w:lang w:val="es-ES_tradnl"/>
              </w:rPr>
              <w:t>d.El</w:t>
            </w:r>
            <w:proofErr w:type="spellEnd"/>
            <w:r w:rsidRPr="00AD5078">
              <w:rPr>
                <w:rFonts w:ascii="Aptos" w:eastAsia="Times New Roman" w:hAnsi="Aptos" w:cs="Times New Roman"/>
                <w:sz w:val="24"/>
                <w:szCs w:val="24"/>
                <w:lang w:val="es-ES_tradnl"/>
              </w:rPr>
              <w:t xml:space="preserve"> (la) </w:t>
            </w:r>
            <w:proofErr w:type="gramStart"/>
            <w:r w:rsidRPr="00AD5078">
              <w:rPr>
                <w:rFonts w:ascii="Aptos" w:eastAsia="Times New Roman" w:hAnsi="Aptos" w:cs="Times New Roman"/>
                <w:sz w:val="24"/>
                <w:szCs w:val="24"/>
                <w:lang w:val="es-ES_tradnl"/>
              </w:rPr>
              <w:t>Ministro</w:t>
            </w:r>
            <w:proofErr w:type="gramEnd"/>
            <w:r w:rsidRPr="00AD5078">
              <w:rPr>
                <w:rFonts w:ascii="Aptos" w:eastAsia="Times New Roman" w:hAnsi="Aptos" w:cs="Times New Roman"/>
                <w:sz w:val="24"/>
                <w:szCs w:val="24"/>
                <w:lang w:val="es-ES_tradnl"/>
              </w:rPr>
              <w:t>(a) de Agricultura y Desarrollo Rural,</w:t>
            </w:r>
          </w:p>
          <w:p w14:paraId="0898A265" w14:textId="77777777" w:rsidR="00B810CB" w:rsidRPr="00AD5078" w:rsidRDefault="00B810CB" w:rsidP="004C741C">
            <w:pPr>
              <w:spacing w:after="0" w:line="240" w:lineRule="auto"/>
              <w:jc w:val="both"/>
              <w:rPr>
                <w:rFonts w:ascii="Aptos" w:eastAsia="Times New Roman" w:hAnsi="Aptos" w:cs="Times New Roman"/>
                <w:sz w:val="24"/>
                <w:szCs w:val="24"/>
                <w:lang w:val="es-ES_tradnl"/>
              </w:rPr>
            </w:pPr>
            <w:proofErr w:type="spellStart"/>
            <w:r w:rsidRPr="00AD5078">
              <w:rPr>
                <w:rFonts w:ascii="Aptos" w:eastAsia="Times New Roman" w:hAnsi="Aptos" w:cs="Times New Roman"/>
                <w:sz w:val="24"/>
                <w:szCs w:val="24"/>
                <w:lang w:val="es-ES_tradnl"/>
              </w:rPr>
              <w:t>c.El</w:t>
            </w:r>
            <w:proofErr w:type="spellEnd"/>
            <w:r w:rsidRPr="00AD5078">
              <w:rPr>
                <w:rFonts w:ascii="Aptos" w:eastAsia="Times New Roman" w:hAnsi="Aptos" w:cs="Times New Roman"/>
                <w:sz w:val="24"/>
                <w:szCs w:val="24"/>
                <w:lang w:val="es-ES_tradnl"/>
              </w:rPr>
              <w:t xml:space="preserve"> (la) </w:t>
            </w:r>
            <w:proofErr w:type="gramStart"/>
            <w:r w:rsidRPr="00AD5078">
              <w:rPr>
                <w:rFonts w:ascii="Aptos" w:eastAsia="Times New Roman" w:hAnsi="Aptos" w:cs="Times New Roman"/>
                <w:sz w:val="24"/>
                <w:szCs w:val="24"/>
                <w:lang w:val="es-ES_tradnl"/>
              </w:rPr>
              <w:t>Ministro</w:t>
            </w:r>
            <w:proofErr w:type="gramEnd"/>
            <w:r w:rsidRPr="00AD5078">
              <w:rPr>
                <w:rFonts w:ascii="Aptos" w:eastAsia="Times New Roman" w:hAnsi="Aptos" w:cs="Times New Roman"/>
                <w:sz w:val="24"/>
                <w:szCs w:val="24"/>
                <w:lang w:val="es-ES_tradnl"/>
              </w:rPr>
              <w:t>(a) de Comercio, Industria y Turismo, o a quien delegue.</w:t>
            </w:r>
          </w:p>
          <w:p w14:paraId="629AB5EF" w14:textId="77777777" w:rsidR="00B810CB" w:rsidRPr="00AD5078" w:rsidRDefault="00B810CB" w:rsidP="004C741C">
            <w:pPr>
              <w:jc w:val="both"/>
              <w:rPr>
                <w:rFonts w:ascii="Aptos" w:eastAsia="Times New Roman" w:hAnsi="Aptos" w:cs="Times New Roman"/>
                <w:sz w:val="24"/>
                <w:szCs w:val="24"/>
                <w:lang w:val="es-ES_tradnl"/>
              </w:rPr>
            </w:pPr>
            <w:proofErr w:type="spellStart"/>
            <w:r w:rsidRPr="00AD5078">
              <w:rPr>
                <w:rFonts w:ascii="Aptos" w:eastAsia="Times New Roman" w:hAnsi="Aptos" w:cs="Times New Roman"/>
                <w:sz w:val="24"/>
                <w:szCs w:val="24"/>
                <w:lang w:val="es-ES_tradnl"/>
              </w:rPr>
              <w:t>d.El</w:t>
            </w:r>
            <w:proofErr w:type="spellEnd"/>
            <w:r w:rsidRPr="00AD5078">
              <w:rPr>
                <w:rFonts w:ascii="Aptos" w:eastAsia="Times New Roman" w:hAnsi="Aptos" w:cs="Times New Roman"/>
                <w:sz w:val="24"/>
                <w:szCs w:val="24"/>
                <w:lang w:val="es-ES_tradnl"/>
              </w:rPr>
              <w:t xml:space="preserve"> (la) </w:t>
            </w:r>
            <w:proofErr w:type="gramStart"/>
            <w:r w:rsidRPr="00AD5078">
              <w:rPr>
                <w:rFonts w:ascii="Aptos" w:eastAsia="Times New Roman" w:hAnsi="Aptos" w:cs="Times New Roman"/>
                <w:sz w:val="24"/>
                <w:szCs w:val="24"/>
                <w:lang w:val="es-ES_tradnl"/>
              </w:rPr>
              <w:t>Ministro</w:t>
            </w:r>
            <w:proofErr w:type="gramEnd"/>
            <w:r w:rsidRPr="00AD5078">
              <w:rPr>
                <w:rFonts w:ascii="Aptos" w:eastAsia="Times New Roman" w:hAnsi="Aptos" w:cs="Times New Roman"/>
                <w:sz w:val="24"/>
                <w:szCs w:val="24"/>
                <w:lang w:val="es-ES_tradnl"/>
              </w:rPr>
              <w:t>(a) de Transporte, o a quien delegue.</w:t>
            </w:r>
          </w:p>
          <w:p w14:paraId="64428955" w14:textId="77777777" w:rsidR="00B810CB" w:rsidRPr="00AD5078" w:rsidRDefault="00B810CB" w:rsidP="004C741C">
            <w:pPr>
              <w:jc w:val="both"/>
              <w:rPr>
                <w:rFonts w:ascii="Aptos" w:eastAsia="Times New Roman" w:hAnsi="Aptos" w:cs="Times New Roman"/>
                <w:sz w:val="24"/>
                <w:szCs w:val="24"/>
                <w:lang w:val="es-ES_tradnl"/>
              </w:rPr>
            </w:pPr>
          </w:p>
          <w:p w14:paraId="679B7737" w14:textId="77777777" w:rsidR="00B810CB" w:rsidRPr="00AD5078" w:rsidRDefault="00B810CB" w:rsidP="004C741C">
            <w:pPr>
              <w:spacing w:after="0" w:line="240" w:lineRule="auto"/>
              <w:jc w:val="both"/>
              <w:rPr>
                <w:rFonts w:ascii="Aptos" w:eastAsia="Times New Roman" w:hAnsi="Aptos" w:cs="Times New Roman"/>
                <w:sz w:val="24"/>
                <w:szCs w:val="24"/>
                <w:lang w:val="es-ES_tradnl"/>
              </w:rPr>
            </w:pPr>
            <w:proofErr w:type="spellStart"/>
            <w:proofErr w:type="gramStart"/>
            <w:r w:rsidRPr="00AD5078">
              <w:rPr>
                <w:rFonts w:ascii="Aptos" w:eastAsia="Times New Roman" w:hAnsi="Aptos" w:cs="Times New Roman"/>
                <w:sz w:val="24"/>
                <w:szCs w:val="24"/>
                <w:lang w:val="es-ES_tradnl"/>
              </w:rPr>
              <w:t>e.El</w:t>
            </w:r>
            <w:proofErr w:type="spellEnd"/>
            <w:proofErr w:type="gramEnd"/>
            <w:r w:rsidRPr="00AD5078">
              <w:rPr>
                <w:rFonts w:ascii="Aptos" w:eastAsia="Times New Roman" w:hAnsi="Aptos" w:cs="Times New Roman"/>
                <w:sz w:val="24"/>
                <w:szCs w:val="24"/>
                <w:lang w:val="es-ES_tradnl"/>
              </w:rPr>
              <w:t xml:space="preserve"> (la) Director(a) del Departamento Nacional de Planeación.</w:t>
            </w:r>
          </w:p>
          <w:p w14:paraId="5239640D" w14:textId="77777777" w:rsidR="00B810CB" w:rsidRPr="00AD5078" w:rsidRDefault="00B810CB" w:rsidP="004C741C">
            <w:pPr>
              <w:jc w:val="both"/>
              <w:rPr>
                <w:rFonts w:ascii="Aptos" w:eastAsia="Times New Roman" w:hAnsi="Aptos" w:cs="Times New Roman"/>
                <w:b/>
                <w:bCs/>
                <w:sz w:val="24"/>
                <w:szCs w:val="24"/>
                <w:lang w:val="es-ES_tradnl"/>
              </w:rPr>
            </w:pPr>
          </w:p>
          <w:p w14:paraId="7EC03636" w14:textId="77777777" w:rsidR="00B810CB" w:rsidRPr="00AD5078" w:rsidRDefault="00B810CB" w:rsidP="004C741C">
            <w:pPr>
              <w:spacing w:after="0" w:line="240" w:lineRule="auto"/>
              <w:jc w:val="both"/>
              <w:rPr>
                <w:rFonts w:ascii="Aptos" w:eastAsia="Times New Roman" w:hAnsi="Aptos" w:cs="Times New Roman"/>
                <w:sz w:val="24"/>
                <w:szCs w:val="24"/>
                <w:lang w:val="es-ES_tradnl"/>
              </w:rPr>
            </w:pPr>
            <w:r w:rsidRPr="00AD5078">
              <w:rPr>
                <w:rFonts w:ascii="Aptos" w:eastAsia="Times New Roman" w:hAnsi="Aptos" w:cs="Times New Roman"/>
                <w:b/>
                <w:bCs/>
                <w:sz w:val="24"/>
                <w:szCs w:val="24"/>
                <w:lang w:val="es-ES_tradnl"/>
              </w:rPr>
              <w:t xml:space="preserve">Parágrafo. </w:t>
            </w:r>
            <w:r w:rsidRPr="00AD5078">
              <w:rPr>
                <w:rFonts w:ascii="Aptos" w:eastAsia="Times New Roman" w:hAnsi="Aptos" w:cs="Times New Roman"/>
                <w:sz w:val="24"/>
                <w:szCs w:val="24"/>
                <w:lang w:val="es-ES_tradnl"/>
              </w:rPr>
              <w:t>Los integrantes de la comisión técnica y de desarrollo sectorial podrán invitar, cuando se requiera a otros representantes del sector público o privado, para temas relacionados con la producción, comercialización, almacenamiento, transporte, usos y exportación del hidrógeno en Colombia.</w:t>
            </w:r>
          </w:p>
          <w:p w14:paraId="2EECC09C" w14:textId="77777777" w:rsidR="00B810CB" w:rsidRPr="00AD5078" w:rsidRDefault="00B810CB" w:rsidP="004C741C">
            <w:pPr>
              <w:spacing w:after="0" w:line="240" w:lineRule="auto"/>
              <w:jc w:val="both"/>
              <w:rPr>
                <w:rFonts w:ascii="Aptos" w:eastAsia="Times New Roman" w:hAnsi="Aptos" w:cs="Times New Roman"/>
                <w:sz w:val="24"/>
                <w:szCs w:val="24"/>
                <w:lang w:val="es-ES_tradnl"/>
              </w:rPr>
            </w:pPr>
          </w:p>
          <w:p w14:paraId="4BA5F86A" w14:textId="77777777" w:rsidR="00B810CB" w:rsidRPr="00AD5078" w:rsidRDefault="00B810CB" w:rsidP="004C741C">
            <w:pPr>
              <w:jc w:val="both"/>
              <w:rPr>
                <w:rFonts w:ascii="Aptos" w:eastAsia="Times New Roman" w:hAnsi="Aptos" w:cs="Times New Roman"/>
                <w:sz w:val="24"/>
                <w:szCs w:val="24"/>
                <w:lang w:val="es-ES_tradnl"/>
              </w:rPr>
            </w:pPr>
          </w:p>
        </w:tc>
        <w:tc>
          <w:tcPr>
            <w:tcW w:w="3402" w:type="dxa"/>
          </w:tcPr>
          <w:p w14:paraId="3937C8E2" w14:textId="77777777" w:rsidR="00B810CB" w:rsidRPr="00AD5078" w:rsidRDefault="00B810CB" w:rsidP="004C741C">
            <w:pPr>
              <w:spacing w:before="21" w:after="0"/>
              <w:jc w:val="both"/>
              <w:rPr>
                <w:rFonts w:ascii="Aptos" w:eastAsia="Times New Roman" w:hAnsi="Aptos" w:cs="Times New Roman"/>
                <w:sz w:val="24"/>
                <w:szCs w:val="24"/>
                <w:lang w:val="es-ES_tradnl"/>
              </w:rPr>
            </w:pPr>
            <w:r w:rsidRPr="00AD5078">
              <w:rPr>
                <w:rFonts w:ascii="Aptos" w:eastAsia="Times New Roman" w:hAnsi="Aptos" w:cs="Times New Roman"/>
                <w:sz w:val="24"/>
                <w:szCs w:val="24"/>
                <w:lang w:val="es-ES_tradnl"/>
              </w:rPr>
              <w:lastRenderedPageBreak/>
              <w:t xml:space="preserve">La creación de la Comisión Técnica Intersectorial se considera pertinente y oportuna, en la medida en que puede fortalecer la gobernanza, la coordinación institucional y la coherencia de políticas públicas en torno al desarrollo del hidrógeno y sus aplicaciones. </w:t>
            </w:r>
          </w:p>
          <w:p w14:paraId="2C225FCB" w14:textId="77777777" w:rsidR="00B810CB" w:rsidRPr="00AD5078" w:rsidRDefault="00B810CB" w:rsidP="004C741C">
            <w:pPr>
              <w:spacing w:before="21" w:after="0"/>
              <w:jc w:val="both"/>
              <w:rPr>
                <w:rFonts w:ascii="Aptos" w:eastAsia="Times New Roman" w:hAnsi="Aptos" w:cs="Times New Roman"/>
                <w:sz w:val="24"/>
                <w:szCs w:val="24"/>
                <w:lang w:val="es-ES_tradnl"/>
              </w:rPr>
            </w:pPr>
            <w:r w:rsidRPr="00AD5078">
              <w:rPr>
                <w:rFonts w:ascii="Aptos" w:eastAsia="Times New Roman" w:hAnsi="Aptos" w:cs="Times New Roman"/>
                <w:sz w:val="24"/>
                <w:szCs w:val="24"/>
                <w:lang w:val="es-ES_tradnl"/>
              </w:rPr>
              <w:t xml:space="preserve"> </w:t>
            </w:r>
          </w:p>
          <w:p w14:paraId="3DC1B27B" w14:textId="77777777" w:rsidR="00B810CB" w:rsidRPr="00AD5078" w:rsidRDefault="00B810CB" w:rsidP="004C741C">
            <w:pPr>
              <w:spacing w:before="21" w:after="0"/>
              <w:jc w:val="both"/>
              <w:rPr>
                <w:rFonts w:ascii="Aptos" w:eastAsia="Times New Roman" w:hAnsi="Aptos" w:cs="Times New Roman"/>
                <w:sz w:val="24"/>
                <w:szCs w:val="24"/>
                <w:lang w:val="es-ES_tradnl"/>
              </w:rPr>
            </w:pPr>
            <w:r w:rsidRPr="00AD5078">
              <w:rPr>
                <w:rFonts w:ascii="Aptos" w:eastAsia="Times New Roman" w:hAnsi="Aptos" w:cs="Times New Roman"/>
                <w:sz w:val="24"/>
                <w:szCs w:val="24"/>
                <w:lang w:val="es-ES_tradnl"/>
              </w:rPr>
              <w:lastRenderedPageBreak/>
              <w:t>No obstante, se recomienda que dicha comisión se articule con las instancias ya existentes del sector energético, tales como el Comité Técnico de Energías Renovables, los Comités de Transición Energética Justa y el Consejo de Política Energética (CPE), para evitar duplicidades y garantizar un flujo de información efectivo.</w:t>
            </w:r>
          </w:p>
          <w:p w14:paraId="4AE8FA51" w14:textId="77777777" w:rsidR="00B810CB" w:rsidRPr="00AD5078" w:rsidRDefault="00B810CB" w:rsidP="004C741C">
            <w:pPr>
              <w:spacing w:before="21" w:after="0"/>
              <w:jc w:val="both"/>
              <w:rPr>
                <w:rFonts w:ascii="Aptos" w:eastAsia="Times New Roman" w:hAnsi="Aptos" w:cs="Times New Roman"/>
                <w:sz w:val="24"/>
                <w:szCs w:val="24"/>
                <w:lang w:val="es-ES_tradnl"/>
              </w:rPr>
            </w:pPr>
            <w:r w:rsidRPr="00AD5078">
              <w:rPr>
                <w:rFonts w:ascii="Aptos" w:eastAsia="Times New Roman" w:hAnsi="Aptos" w:cs="Times New Roman"/>
                <w:sz w:val="24"/>
                <w:szCs w:val="24"/>
                <w:lang w:val="es-ES_tradnl"/>
              </w:rPr>
              <w:t xml:space="preserve">Asimismo, la Comisión debería contemplar un componente técnico-científico permanente, integrado por representantes de universidades, centros de investigación y actores industriales, que contribuyan a la toma de decisiones basadas en evidencia. </w:t>
            </w:r>
          </w:p>
          <w:p w14:paraId="66D7C2E6" w14:textId="77777777" w:rsidR="00B810CB" w:rsidRPr="00AD5078" w:rsidRDefault="00B810CB" w:rsidP="004C741C">
            <w:pPr>
              <w:spacing w:before="21" w:after="0"/>
              <w:jc w:val="both"/>
              <w:rPr>
                <w:rFonts w:ascii="Aptos" w:eastAsia="Times New Roman" w:hAnsi="Aptos" w:cs="Times New Roman"/>
                <w:sz w:val="24"/>
                <w:szCs w:val="24"/>
                <w:lang w:val="es-ES_tradnl"/>
              </w:rPr>
            </w:pPr>
            <w:r w:rsidRPr="00AD5078">
              <w:rPr>
                <w:rFonts w:ascii="Aptos" w:eastAsia="Times New Roman" w:hAnsi="Aptos" w:cs="Times New Roman"/>
                <w:sz w:val="24"/>
                <w:szCs w:val="24"/>
                <w:lang w:val="es-ES_tradnl"/>
              </w:rPr>
              <w:t xml:space="preserve"> </w:t>
            </w:r>
          </w:p>
          <w:p w14:paraId="7E5CEAB6" w14:textId="77777777" w:rsidR="00B810CB" w:rsidRPr="00AD5078" w:rsidRDefault="00B810CB" w:rsidP="004C741C">
            <w:pPr>
              <w:spacing w:before="21" w:after="0"/>
              <w:jc w:val="both"/>
              <w:rPr>
                <w:rFonts w:ascii="Aptos" w:eastAsia="Times New Roman" w:hAnsi="Aptos" w:cs="Times New Roman"/>
                <w:sz w:val="24"/>
                <w:szCs w:val="24"/>
                <w:lang w:val="es-ES_tradnl"/>
              </w:rPr>
            </w:pPr>
            <w:r w:rsidRPr="00AD5078">
              <w:rPr>
                <w:rFonts w:ascii="Aptos" w:eastAsia="Times New Roman" w:hAnsi="Aptos" w:cs="Times New Roman"/>
                <w:sz w:val="24"/>
                <w:szCs w:val="24"/>
                <w:lang w:val="es-ES_tradnl"/>
              </w:rPr>
              <w:t xml:space="preserve">Siendo una de las potenciales funciones de la comisión la de Promover la investigación y desarrollo tecnológico en materia de Hidrógeno y/o sus derivados; y que, de acuerdo con el Decreto 2226 de 2019, el Ministerio de Ciencia, Tecnología e Innovación promoverá la investigación aplicada, el desarrollo tecnológico y la innovación, se sugiere modificar el artículo en procura de asegurar </w:t>
            </w:r>
            <w:r w:rsidRPr="00AD5078">
              <w:rPr>
                <w:rFonts w:ascii="Aptos" w:eastAsia="Times New Roman" w:hAnsi="Aptos" w:cs="Times New Roman"/>
                <w:sz w:val="24"/>
                <w:szCs w:val="24"/>
                <w:lang w:val="es-ES_tradnl"/>
              </w:rPr>
              <w:lastRenderedPageBreak/>
              <w:t>su participación en torno a ciencia, tecnología e innovación en torno a la cadena de valor del hidrógeno. Por lo anterior, se recomienda incorporar a la comisión como miembro al Ministerio de Ciencia Tecnología e Innovación.</w:t>
            </w:r>
          </w:p>
          <w:p w14:paraId="4DA53D4E" w14:textId="77777777" w:rsidR="00B810CB" w:rsidRPr="00AD5078" w:rsidRDefault="00B810CB" w:rsidP="004C741C">
            <w:pPr>
              <w:spacing w:before="21" w:after="0"/>
              <w:jc w:val="both"/>
              <w:rPr>
                <w:rFonts w:ascii="Aptos" w:eastAsia="Times New Roman" w:hAnsi="Aptos" w:cs="Times New Roman"/>
                <w:sz w:val="24"/>
                <w:szCs w:val="24"/>
                <w:lang w:val="es-ES_tradnl"/>
              </w:rPr>
            </w:pPr>
          </w:p>
          <w:p w14:paraId="572DB679" w14:textId="77777777" w:rsidR="00B810CB" w:rsidRPr="00AD5078" w:rsidRDefault="00B810CB" w:rsidP="004C741C">
            <w:pPr>
              <w:spacing w:before="21" w:after="0"/>
              <w:jc w:val="both"/>
              <w:rPr>
                <w:rFonts w:ascii="Aptos" w:eastAsia="Times New Roman" w:hAnsi="Aptos" w:cs="Times New Roman"/>
                <w:sz w:val="24"/>
                <w:szCs w:val="24"/>
                <w:lang w:val="es-ES_tradnl"/>
              </w:rPr>
            </w:pPr>
            <w:r w:rsidRPr="00AD5078">
              <w:rPr>
                <w:rFonts w:ascii="Aptos" w:eastAsia="Times New Roman" w:hAnsi="Aptos" w:cs="Times New Roman"/>
                <w:sz w:val="24"/>
                <w:szCs w:val="24"/>
                <w:lang w:val="es-ES_tradnl"/>
              </w:rPr>
              <w:t xml:space="preserve">Adicionalmente, teniendo en cuenta el involucramiento de múltiples carteras y los tiempos internos para las validaciones internas </w:t>
            </w:r>
            <w:r w:rsidRPr="00AD5078">
              <w:rPr>
                <w:rFonts w:ascii="Aptos" w:eastAsia="Times New Roman" w:hAnsi="Aptos" w:cs="Times New Roman"/>
                <w:b/>
                <w:bCs/>
                <w:sz w:val="24"/>
                <w:szCs w:val="24"/>
                <w:u w:val="single"/>
                <w:lang w:val="es-ES_tradnl"/>
              </w:rPr>
              <w:t>se sugiere modificar el tiempo de implementación de disposición a doce (12) meses</w:t>
            </w:r>
            <w:r w:rsidRPr="00AD5078">
              <w:rPr>
                <w:rFonts w:ascii="Aptos" w:eastAsia="Times New Roman" w:hAnsi="Aptos" w:cs="Times New Roman"/>
                <w:sz w:val="24"/>
                <w:szCs w:val="24"/>
                <w:lang w:val="es-ES_tradnl"/>
              </w:rPr>
              <w:t xml:space="preserve">, tiempo necesario para dichas gestiones institucionales. </w:t>
            </w:r>
          </w:p>
          <w:p w14:paraId="0FBE1155" w14:textId="77777777" w:rsidR="00B810CB" w:rsidRPr="00AD5078" w:rsidRDefault="00B810CB" w:rsidP="004C741C">
            <w:pPr>
              <w:spacing w:before="21" w:after="0"/>
              <w:jc w:val="both"/>
              <w:rPr>
                <w:rFonts w:ascii="Aptos" w:eastAsia="Times New Roman" w:hAnsi="Aptos" w:cs="Times New Roman"/>
                <w:sz w:val="24"/>
                <w:szCs w:val="24"/>
                <w:lang w:val="es-ES_tradnl"/>
              </w:rPr>
            </w:pPr>
          </w:p>
          <w:p w14:paraId="09ABA766" w14:textId="77777777" w:rsidR="00B810CB" w:rsidRPr="00AD5078" w:rsidRDefault="00B810CB" w:rsidP="004C741C">
            <w:pPr>
              <w:spacing w:before="21" w:after="0"/>
              <w:jc w:val="both"/>
              <w:rPr>
                <w:rFonts w:ascii="Aptos" w:eastAsia="Times New Roman" w:hAnsi="Aptos" w:cs="Times New Roman"/>
                <w:sz w:val="24"/>
                <w:szCs w:val="24"/>
                <w:lang w:val="es-ES_tradnl"/>
              </w:rPr>
            </w:pPr>
            <w:r w:rsidRPr="00AD5078">
              <w:rPr>
                <w:rFonts w:ascii="Aptos" w:eastAsia="Times New Roman" w:hAnsi="Aptos" w:cs="Times New Roman"/>
                <w:sz w:val="24"/>
                <w:szCs w:val="24"/>
                <w:lang w:val="es-ES_tradnl"/>
              </w:rPr>
              <w:t>Esta inclusión permite que actual proyecto de decreto que viene siendo promovido desde el Ministerio de Minas y Energía para la conformación de comisión intersectorial se corresponda con las disposiciones establecidas en el presente proyecto de ley, en particular, en sus artículos 8 y 12.</w:t>
            </w:r>
          </w:p>
        </w:tc>
      </w:tr>
      <w:tr w:rsidR="00B810CB" w:rsidRPr="00AD5078" w14:paraId="2F60B305" w14:textId="77777777" w:rsidTr="004C741C">
        <w:trPr>
          <w:trHeight w:val="303"/>
          <w:jc w:val="center"/>
        </w:trPr>
        <w:tc>
          <w:tcPr>
            <w:tcW w:w="1016" w:type="dxa"/>
          </w:tcPr>
          <w:p w14:paraId="077FB5AD" w14:textId="77777777" w:rsidR="00B810CB" w:rsidRPr="00AD5078" w:rsidRDefault="00B810CB" w:rsidP="004C741C">
            <w:pPr>
              <w:jc w:val="both"/>
              <w:rPr>
                <w:rFonts w:ascii="Aptos" w:eastAsia="Times New Roman" w:hAnsi="Aptos" w:cs="Times New Roman"/>
                <w:b/>
                <w:bCs/>
                <w:sz w:val="24"/>
                <w:szCs w:val="24"/>
                <w:lang w:val="es-ES_tradnl"/>
              </w:rPr>
            </w:pPr>
            <w:r w:rsidRPr="00AD5078">
              <w:rPr>
                <w:rFonts w:ascii="Aptos" w:eastAsia="Times New Roman" w:hAnsi="Aptos" w:cs="Times New Roman"/>
                <w:b/>
                <w:bCs/>
                <w:sz w:val="24"/>
                <w:szCs w:val="24"/>
                <w:lang w:val="es-ES_tradnl"/>
              </w:rPr>
              <w:lastRenderedPageBreak/>
              <w:t>9</w:t>
            </w:r>
          </w:p>
        </w:tc>
        <w:tc>
          <w:tcPr>
            <w:tcW w:w="7484" w:type="dxa"/>
          </w:tcPr>
          <w:p w14:paraId="4969618C" w14:textId="77777777" w:rsidR="00B810CB" w:rsidRPr="00AD5078" w:rsidRDefault="00B810CB" w:rsidP="004C741C">
            <w:pPr>
              <w:spacing w:after="0" w:line="240" w:lineRule="auto"/>
              <w:jc w:val="both"/>
              <w:rPr>
                <w:rFonts w:ascii="Aptos" w:eastAsia="Times New Roman" w:hAnsi="Aptos" w:cs="Times New Roman"/>
                <w:sz w:val="24"/>
                <w:szCs w:val="24"/>
                <w:lang w:val="es-ES_tradnl"/>
              </w:rPr>
            </w:pPr>
            <w:r w:rsidRPr="00AD5078">
              <w:rPr>
                <w:rFonts w:ascii="Aptos" w:eastAsia="Times New Roman" w:hAnsi="Aptos" w:cs="Times New Roman"/>
                <w:b/>
                <w:bCs/>
                <w:sz w:val="24"/>
                <w:szCs w:val="24"/>
                <w:lang w:val="es-ES_tradnl"/>
              </w:rPr>
              <w:t xml:space="preserve">Esquema generación de demanda de hidrógeno verde y bajas emisiones. </w:t>
            </w:r>
            <w:r w:rsidRPr="00AD5078">
              <w:rPr>
                <w:rFonts w:ascii="Aptos" w:eastAsia="Times New Roman" w:hAnsi="Aptos" w:cs="Times New Roman"/>
                <w:sz w:val="24"/>
                <w:szCs w:val="24"/>
                <w:lang w:val="es-ES_tradnl"/>
              </w:rPr>
              <w:t xml:space="preserve">Con el objetivo de fomentar la demanda de hidrógeno de bajas emisiones y sus derivados en el país, que facilite el apalancamiento de </w:t>
            </w:r>
            <w:r w:rsidRPr="00AD5078">
              <w:rPr>
                <w:rFonts w:ascii="Aptos" w:eastAsia="Times New Roman" w:hAnsi="Aptos" w:cs="Times New Roman"/>
                <w:sz w:val="24"/>
                <w:szCs w:val="24"/>
                <w:lang w:val="es-ES_tradnl"/>
              </w:rPr>
              <w:lastRenderedPageBreak/>
              <w:t xml:space="preserve">proyectos de producción de hidrógeno, </w:t>
            </w:r>
            <w:r w:rsidRPr="00AD5078">
              <w:rPr>
                <w:rFonts w:ascii="Aptos" w:eastAsia="Times New Roman" w:hAnsi="Aptos" w:cs="Times New Roman"/>
                <w:strike/>
                <w:sz w:val="24"/>
                <w:szCs w:val="24"/>
                <w:lang w:val="es-ES_tradnl"/>
              </w:rPr>
              <w:t>se estudiarán mínimos de consumo de hidrógeno de bajas emisiones y sus derivados en</w:t>
            </w:r>
            <w:r w:rsidRPr="00AD5078">
              <w:rPr>
                <w:rFonts w:ascii="Aptos" w:eastAsia="Times New Roman" w:hAnsi="Aptos" w:cs="Times New Roman"/>
                <w:sz w:val="24"/>
                <w:szCs w:val="24"/>
                <w:lang w:val="es-ES_tradnl"/>
              </w:rPr>
              <w:t xml:space="preserve"> </w:t>
            </w:r>
            <w:r w:rsidRPr="00AD5078">
              <w:rPr>
                <w:rFonts w:ascii="Aptos" w:eastAsia="Times New Roman" w:hAnsi="Aptos" w:cs="Times New Roman"/>
                <w:sz w:val="24"/>
                <w:szCs w:val="24"/>
                <w:u w:val="single"/>
                <w:lang w:val="es-ES_tradnl"/>
              </w:rPr>
              <w:t>Ministerio de Minas y Energía presentará a la Mesa Técnica Intersectorial una propuesta de incentivos para que empresas y</w:t>
            </w:r>
            <w:r w:rsidRPr="00AD5078">
              <w:rPr>
                <w:rFonts w:ascii="Aptos" w:eastAsia="Times New Roman" w:hAnsi="Aptos" w:cs="Times New Roman"/>
                <w:sz w:val="24"/>
                <w:szCs w:val="24"/>
                <w:lang w:val="es-ES_tradnl"/>
              </w:rPr>
              <w:t xml:space="preserve"> los sectores de mayor demanda de energía térmica o con mayor potencial de sustitución de combustibles fósiles o con grandes consumos de hidrógeno o sus derivados, sin perjudicar el acceso a la energía ni la pobreza energética de los hogares en el país.</w:t>
            </w:r>
          </w:p>
          <w:p w14:paraId="6AD01E6F" w14:textId="77777777" w:rsidR="00B810CB" w:rsidRPr="00AD5078" w:rsidRDefault="00B810CB" w:rsidP="004C741C">
            <w:pPr>
              <w:spacing w:after="0" w:line="240" w:lineRule="auto"/>
              <w:jc w:val="both"/>
              <w:rPr>
                <w:rFonts w:ascii="Aptos" w:eastAsia="Times New Roman" w:hAnsi="Aptos" w:cs="Times New Roman"/>
                <w:strike/>
                <w:sz w:val="24"/>
                <w:szCs w:val="24"/>
                <w:lang w:val="es-ES_tradnl"/>
              </w:rPr>
            </w:pPr>
            <w:r w:rsidRPr="00AD5078">
              <w:rPr>
                <w:rFonts w:ascii="Aptos" w:eastAsia="Times New Roman" w:hAnsi="Aptos" w:cs="Times New Roman"/>
                <w:b/>
                <w:bCs/>
                <w:strike/>
                <w:sz w:val="24"/>
                <w:szCs w:val="24"/>
                <w:lang w:val="es-ES_tradnl"/>
              </w:rPr>
              <w:t xml:space="preserve">Parágrafo 1°. </w:t>
            </w:r>
            <w:r w:rsidRPr="00AD5078">
              <w:rPr>
                <w:rFonts w:ascii="Aptos" w:eastAsia="Times New Roman" w:hAnsi="Aptos" w:cs="Times New Roman"/>
                <w:strike/>
                <w:sz w:val="24"/>
                <w:szCs w:val="24"/>
                <w:lang w:val="es-ES_tradnl"/>
              </w:rPr>
              <w:t>Conforme a lo previsto en el artículo 5 de la presente ley, el Ministerio de Minas y Energía le presentará a la Comisión Técnica Intersectorial una propuesta de mínimos de consumo de hidrógeno de bajas emisiones que deban certificar los mayores consumidores identificados que sea progresivo en el tiempo y diferencie entre el potencial de abatimiento de dichas alternativas.</w:t>
            </w:r>
          </w:p>
          <w:p w14:paraId="4D2C7BB7" w14:textId="77777777" w:rsidR="00B810CB" w:rsidRPr="00AD5078" w:rsidRDefault="00B810CB" w:rsidP="004C741C">
            <w:pPr>
              <w:spacing w:after="0" w:line="240" w:lineRule="auto"/>
              <w:jc w:val="both"/>
              <w:rPr>
                <w:rFonts w:ascii="Aptos" w:eastAsia="Times New Roman" w:hAnsi="Aptos" w:cs="Times New Roman"/>
                <w:sz w:val="24"/>
                <w:szCs w:val="24"/>
                <w:lang w:val="es-ES_tradnl"/>
              </w:rPr>
            </w:pPr>
            <w:r w:rsidRPr="00AD5078">
              <w:rPr>
                <w:rFonts w:ascii="Aptos" w:eastAsia="Times New Roman" w:hAnsi="Aptos" w:cs="Times New Roman"/>
                <w:b/>
                <w:bCs/>
                <w:sz w:val="24"/>
                <w:szCs w:val="24"/>
                <w:lang w:val="es-ES_tradnl"/>
              </w:rPr>
              <w:t xml:space="preserve">Parágrafo transitorio. </w:t>
            </w:r>
            <w:r w:rsidRPr="00AD5078">
              <w:rPr>
                <w:rFonts w:ascii="Aptos" w:eastAsia="Times New Roman" w:hAnsi="Aptos" w:cs="Times New Roman"/>
                <w:sz w:val="24"/>
                <w:szCs w:val="24"/>
                <w:lang w:val="es-ES_tradnl"/>
              </w:rPr>
              <w:t xml:space="preserve">Con el </w:t>
            </w:r>
            <w:proofErr w:type="spellStart"/>
            <w:r w:rsidRPr="00AD5078">
              <w:rPr>
                <w:rFonts w:ascii="Aptos" w:eastAsia="Times New Roman" w:hAnsi="Aptos" w:cs="Times New Roman"/>
                <w:strike/>
                <w:sz w:val="24"/>
                <w:szCs w:val="24"/>
                <w:lang w:val="es-ES_tradnl"/>
              </w:rPr>
              <w:t>ánimo</w:t>
            </w:r>
            <w:r w:rsidRPr="00AD5078">
              <w:rPr>
                <w:rFonts w:ascii="Aptos" w:eastAsia="Times New Roman" w:hAnsi="Aptos" w:cs="Times New Roman"/>
                <w:sz w:val="24"/>
                <w:szCs w:val="24"/>
                <w:lang w:val="es-ES_tradnl"/>
              </w:rPr>
              <w:t>fin</w:t>
            </w:r>
            <w:proofErr w:type="spellEnd"/>
            <w:r w:rsidRPr="00AD5078">
              <w:rPr>
                <w:rFonts w:ascii="Aptos" w:eastAsia="Times New Roman" w:hAnsi="Aptos" w:cs="Times New Roman"/>
                <w:sz w:val="24"/>
                <w:szCs w:val="24"/>
                <w:lang w:val="es-ES_tradnl"/>
              </w:rPr>
              <w:t xml:space="preserve"> de </w:t>
            </w:r>
            <w:r w:rsidRPr="00AD5078">
              <w:rPr>
                <w:rFonts w:ascii="Aptos" w:eastAsia="Times New Roman" w:hAnsi="Aptos" w:cs="Times New Roman"/>
                <w:strike/>
                <w:sz w:val="24"/>
                <w:szCs w:val="24"/>
                <w:lang w:val="es-ES_tradnl"/>
              </w:rPr>
              <w:t>incentivar</w:t>
            </w:r>
            <w:r w:rsidRPr="00AD5078">
              <w:rPr>
                <w:rFonts w:ascii="Aptos" w:eastAsia="Times New Roman" w:hAnsi="Aptos" w:cs="Times New Roman"/>
                <w:sz w:val="24"/>
                <w:szCs w:val="24"/>
                <w:lang w:val="es-ES_tradnl"/>
              </w:rPr>
              <w:t xml:space="preserve"> promover la producción de hidrógeno </w:t>
            </w:r>
            <w:r w:rsidRPr="00AD5078">
              <w:rPr>
                <w:rFonts w:ascii="Aptos" w:eastAsia="Times New Roman" w:hAnsi="Aptos" w:cs="Times New Roman"/>
                <w:sz w:val="24"/>
                <w:szCs w:val="24"/>
                <w:u w:val="single"/>
                <w:lang w:val="es-ES_tradnl"/>
              </w:rPr>
              <w:t>que permita atender</w:t>
            </w:r>
            <w:r w:rsidRPr="00AD5078">
              <w:rPr>
                <w:rFonts w:ascii="Aptos" w:eastAsia="Times New Roman" w:hAnsi="Aptos" w:cs="Times New Roman"/>
                <w:sz w:val="24"/>
                <w:szCs w:val="24"/>
                <w:lang w:val="es-ES_tradnl"/>
              </w:rPr>
              <w:t xml:space="preserve"> </w:t>
            </w:r>
            <w:r w:rsidRPr="00AD5078">
              <w:rPr>
                <w:rFonts w:ascii="Aptos" w:eastAsia="Times New Roman" w:hAnsi="Aptos" w:cs="Times New Roman"/>
                <w:strike/>
                <w:sz w:val="24"/>
                <w:szCs w:val="24"/>
                <w:lang w:val="es-ES_tradnl"/>
              </w:rPr>
              <w:t>para satisfacer</w:t>
            </w:r>
            <w:r w:rsidRPr="00AD5078">
              <w:rPr>
                <w:rFonts w:ascii="Aptos" w:eastAsia="Times New Roman" w:hAnsi="Aptos" w:cs="Times New Roman"/>
                <w:sz w:val="24"/>
                <w:szCs w:val="24"/>
                <w:lang w:val="es-ES_tradnl"/>
              </w:rPr>
              <w:t xml:space="preserve"> la demanda </w:t>
            </w:r>
            <w:r w:rsidRPr="00AD5078">
              <w:rPr>
                <w:rFonts w:ascii="Aptos" w:eastAsia="Times New Roman" w:hAnsi="Aptos" w:cs="Times New Roman"/>
                <w:sz w:val="24"/>
                <w:szCs w:val="24"/>
                <w:u w:val="single"/>
                <w:lang w:val="es-ES_tradnl"/>
              </w:rPr>
              <w:t xml:space="preserve">incentivada en el marco de </w:t>
            </w:r>
            <w:r w:rsidRPr="00AD5078">
              <w:rPr>
                <w:rFonts w:ascii="Aptos" w:eastAsia="Times New Roman" w:hAnsi="Aptos" w:cs="Times New Roman"/>
                <w:strike/>
                <w:sz w:val="24"/>
                <w:szCs w:val="24"/>
                <w:lang w:val="es-ES_tradnl"/>
              </w:rPr>
              <w:t>fomentada con</w:t>
            </w:r>
            <w:r w:rsidRPr="00AD5078">
              <w:rPr>
                <w:rFonts w:ascii="Aptos" w:eastAsia="Times New Roman" w:hAnsi="Aptos" w:cs="Times New Roman"/>
                <w:sz w:val="24"/>
                <w:szCs w:val="24"/>
                <w:lang w:val="es-ES_tradnl"/>
              </w:rPr>
              <w:t xml:space="preserve"> la presente ley, el Gobierno Nacional, en cabeza del Ministerio de Minas y Energía creará dentro de los 6 meses siguientes a la expedición de esta ley esquema de financiación dentro del Fondo de Energías No Convencionales y Gestión Eficiente de la Energía (FENOGE) para aquellos proyectos que inicien construcción </w:t>
            </w:r>
            <w:r w:rsidRPr="00AD5078">
              <w:rPr>
                <w:rFonts w:ascii="Aptos" w:eastAsia="Times New Roman" w:hAnsi="Aptos" w:cs="Times New Roman"/>
                <w:sz w:val="24"/>
                <w:szCs w:val="24"/>
                <w:u w:val="single"/>
                <w:lang w:val="es-ES_tradnl"/>
              </w:rPr>
              <w:t>hasta</w:t>
            </w:r>
            <w:r w:rsidRPr="00AD5078">
              <w:rPr>
                <w:rFonts w:ascii="Aptos" w:eastAsia="Times New Roman" w:hAnsi="Aptos" w:cs="Times New Roman"/>
                <w:sz w:val="24"/>
                <w:szCs w:val="24"/>
                <w:lang w:val="es-ES_tradnl"/>
              </w:rPr>
              <w:t xml:space="preserve"> </w:t>
            </w:r>
            <w:r w:rsidRPr="00AD5078">
              <w:rPr>
                <w:rFonts w:ascii="Aptos" w:eastAsia="Times New Roman" w:hAnsi="Aptos" w:cs="Times New Roman"/>
                <w:strike/>
                <w:sz w:val="24"/>
                <w:szCs w:val="24"/>
                <w:lang w:val="es-ES_tradnl"/>
              </w:rPr>
              <w:t>en</w:t>
            </w:r>
            <w:r w:rsidRPr="00AD5078">
              <w:rPr>
                <w:rFonts w:ascii="Aptos" w:eastAsia="Times New Roman" w:hAnsi="Aptos" w:cs="Times New Roman"/>
                <w:sz w:val="24"/>
                <w:szCs w:val="24"/>
                <w:lang w:val="es-ES_tradnl"/>
              </w:rPr>
              <w:t xml:space="preserve"> la vigencias 2024 y 2025.</w:t>
            </w:r>
          </w:p>
          <w:p w14:paraId="3E92EAD4" w14:textId="77777777" w:rsidR="00B810CB" w:rsidRPr="00AD5078" w:rsidRDefault="00B810CB" w:rsidP="004C741C">
            <w:pPr>
              <w:jc w:val="both"/>
              <w:rPr>
                <w:rFonts w:ascii="Aptos" w:eastAsia="Times New Roman" w:hAnsi="Aptos" w:cs="Times New Roman"/>
                <w:sz w:val="24"/>
                <w:szCs w:val="24"/>
                <w:lang w:val="es-ES_tradnl"/>
              </w:rPr>
            </w:pPr>
            <w:r w:rsidRPr="00AD5078">
              <w:rPr>
                <w:rFonts w:ascii="Aptos" w:eastAsia="Times New Roman" w:hAnsi="Aptos" w:cs="Times New Roman"/>
                <w:b/>
                <w:bCs/>
                <w:sz w:val="24"/>
                <w:szCs w:val="24"/>
                <w:lang w:val="es-ES_tradnl"/>
              </w:rPr>
              <w:t xml:space="preserve">Parágrafo 3°. </w:t>
            </w:r>
            <w:r w:rsidRPr="00AD5078">
              <w:rPr>
                <w:rFonts w:ascii="Aptos" w:eastAsia="Times New Roman" w:hAnsi="Aptos" w:cs="Times New Roman"/>
                <w:sz w:val="24"/>
                <w:szCs w:val="24"/>
                <w:lang w:val="es-ES_tradnl"/>
              </w:rPr>
              <w:t xml:space="preserve">Estudio de factibilidad de inyección de hidrógeno de bajas emisiones a las redes de distribución y transporte de gas natural. Con el objetivo de fomentar la demanda y el transporte de hidrógeno de bajas emisiones en el país, el Gobierno Nacional en cabeza del Ministerio de Minas y Energía </w:t>
            </w:r>
            <w:r w:rsidRPr="00AD5078">
              <w:rPr>
                <w:rFonts w:ascii="Aptos" w:eastAsia="Times New Roman" w:hAnsi="Aptos" w:cs="Times New Roman"/>
                <w:strike/>
                <w:sz w:val="24"/>
                <w:szCs w:val="24"/>
                <w:lang w:val="es-ES_tradnl"/>
              </w:rPr>
              <w:t xml:space="preserve">evaluará </w:t>
            </w:r>
            <w:r w:rsidRPr="00AD5078">
              <w:rPr>
                <w:rFonts w:ascii="Aptos" w:eastAsia="Times New Roman" w:hAnsi="Aptos" w:cs="Times New Roman"/>
                <w:sz w:val="24"/>
                <w:szCs w:val="24"/>
                <w:u w:val="single"/>
                <w:lang w:val="es-ES_tradnl"/>
              </w:rPr>
              <w:t xml:space="preserve">determinara </w:t>
            </w:r>
            <w:r w:rsidRPr="00AD5078">
              <w:rPr>
                <w:rFonts w:ascii="Aptos" w:eastAsia="Times New Roman" w:hAnsi="Aptos" w:cs="Times New Roman"/>
                <w:sz w:val="24"/>
                <w:szCs w:val="24"/>
                <w:lang w:val="es-ES_tradnl"/>
              </w:rPr>
              <w:t xml:space="preserve">en los doce (12) meses siguientes a la expedición de la presente ley, la factibilidad técnica, la conveniencia socio-económica, el porcentaje máximo de </w:t>
            </w:r>
            <w:proofErr w:type="spellStart"/>
            <w:r w:rsidRPr="00AD5078">
              <w:rPr>
                <w:rFonts w:ascii="Aptos" w:eastAsia="Times New Roman" w:hAnsi="Aptos" w:cs="Times New Roman"/>
                <w:sz w:val="24"/>
                <w:szCs w:val="24"/>
                <w:lang w:val="es-ES_tradnl"/>
              </w:rPr>
              <w:t>mezcia</w:t>
            </w:r>
            <w:proofErr w:type="spellEnd"/>
            <w:r w:rsidRPr="00AD5078">
              <w:rPr>
                <w:rFonts w:ascii="Aptos" w:eastAsia="Times New Roman" w:hAnsi="Aptos" w:cs="Times New Roman"/>
                <w:sz w:val="24"/>
                <w:szCs w:val="24"/>
                <w:lang w:val="es-ES_tradnl"/>
              </w:rPr>
              <w:t xml:space="preserve"> de hidrógeno y gas natural (</w:t>
            </w:r>
            <w:proofErr w:type="spellStart"/>
            <w:r w:rsidRPr="00AD5078">
              <w:rPr>
                <w:rFonts w:ascii="Aptos" w:eastAsia="Times New Roman" w:hAnsi="Aptos" w:cs="Times New Roman"/>
                <w:sz w:val="24"/>
                <w:szCs w:val="24"/>
                <w:lang w:val="es-ES_tradnl"/>
              </w:rPr>
              <w:t>blending</w:t>
            </w:r>
            <w:proofErr w:type="spellEnd"/>
            <w:r w:rsidRPr="00AD5078">
              <w:rPr>
                <w:rFonts w:ascii="Aptos" w:eastAsia="Times New Roman" w:hAnsi="Aptos" w:cs="Times New Roman"/>
                <w:sz w:val="24"/>
                <w:szCs w:val="24"/>
                <w:lang w:val="es-ES_tradnl"/>
              </w:rPr>
              <w:t xml:space="preserve">)  y los impactos ambientales de una posible inyección en mezcla a través de la infraestructura de </w:t>
            </w:r>
            <w:r w:rsidRPr="00AD5078">
              <w:rPr>
                <w:rFonts w:ascii="Aptos" w:eastAsia="Times New Roman" w:hAnsi="Aptos" w:cs="Times New Roman"/>
                <w:strike/>
                <w:sz w:val="24"/>
                <w:szCs w:val="24"/>
                <w:lang w:val="es-ES_tradnl"/>
              </w:rPr>
              <w:t>comercialización</w:t>
            </w:r>
            <w:r w:rsidRPr="00AD5078">
              <w:rPr>
                <w:rFonts w:ascii="Aptos" w:eastAsia="Times New Roman" w:hAnsi="Aptos" w:cs="Times New Roman"/>
                <w:sz w:val="24"/>
                <w:szCs w:val="24"/>
                <w:lang w:val="es-ES_tradnl"/>
              </w:rPr>
              <w:t xml:space="preserve"> transporte y distribución de gas natural como servicio público. El análisis deberá priorizar el posible impacto de distintos niveles de inyección sobre las tarifas de servicios públicos, así como los efectos en reducción de emisiones de gases de efecto invernadero que dicha inyección podría tener.</w:t>
            </w:r>
          </w:p>
        </w:tc>
        <w:tc>
          <w:tcPr>
            <w:tcW w:w="3402" w:type="dxa"/>
          </w:tcPr>
          <w:p w14:paraId="2547AE92" w14:textId="77777777" w:rsidR="00B810CB" w:rsidRPr="00AD5078" w:rsidRDefault="00B810CB" w:rsidP="004C741C">
            <w:pPr>
              <w:spacing w:after="0"/>
              <w:jc w:val="both"/>
              <w:rPr>
                <w:rFonts w:ascii="Aptos" w:eastAsia="Times New Roman" w:hAnsi="Aptos" w:cs="Times New Roman"/>
                <w:sz w:val="24"/>
                <w:szCs w:val="24"/>
                <w:lang w:val="es-ES_tradnl"/>
              </w:rPr>
            </w:pPr>
            <w:r w:rsidRPr="00AD5078">
              <w:rPr>
                <w:rFonts w:ascii="Aptos" w:eastAsia="Times New Roman" w:hAnsi="Aptos" w:cs="Times New Roman"/>
                <w:sz w:val="24"/>
                <w:szCs w:val="24"/>
                <w:lang w:val="es-ES_tradnl"/>
              </w:rPr>
              <w:lastRenderedPageBreak/>
              <w:t xml:space="preserve"> Respecto a ajuste hecho en redacción de artículo y eliminación de parágrafo 1 nos permitimos indicar que en términos </w:t>
            </w:r>
            <w:r w:rsidRPr="00AD5078">
              <w:rPr>
                <w:rFonts w:ascii="Aptos" w:eastAsia="Times New Roman" w:hAnsi="Aptos" w:cs="Times New Roman"/>
                <w:sz w:val="24"/>
                <w:szCs w:val="24"/>
                <w:lang w:val="es-ES_tradnl"/>
              </w:rPr>
              <w:lastRenderedPageBreak/>
              <w:t>técnicos se considera pertinente ajuste, teniendo en cuenta que dentro de CONPES se tiene contemplado el estudio de esquema de generación de demanda de hidrógeno verde y bajas emisiones para que empresas y sectores de mayor demanda de energía térmica o con mayor potencial de sustitución de combustibles fósiles o con grandes consumos de hidrógeno o sus derivados.</w:t>
            </w:r>
          </w:p>
          <w:p w14:paraId="4A00CB90" w14:textId="77777777" w:rsidR="00B810CB" w:rsidRPr="00AD5078" w:rsidRDefault="00B810CB" w:rsidP="004C741C">
            <w:pPr>
              <w:spacing w:after="0"/>
              <w:jc w:val="both"/>
              <w:rPr>
                <w:rFonts w:ascii="Aptos" w:eastAsia="Times New Roman" w:hAnsi="Aptos" w:cs="Times New Roman"/>
                <w:sz w:val="24"/>
                <w:szCs w:val="24"/>
                <w:lang w:val="es-ES_tradnl"/>
              </w:rPr>
            </w:pPr>
          </w:p>
          <w:p w14:paraId="1B8E39D1" w14:textId="77777777" w:rsidR="00B810CB" w:rsidRPr="00AD5078" w:rsidRDefault="00B810CB" w:rsidP="004C741C">
            <w:pPr>
              <w:spacing w:after="0"/>
              <w:jc w:val="both"/>
              <w:rPr>
                <w:rFonts w:ascii="Aptos" w:eastAsia="Times New Roman" w:hAnsi="Aptos" w:cs="Times New Roman"/>
                <w:sz w:val="24"/>
                <w:szCs w:val="24"/>
                <w:lang w:val="es-ES_tradnl"/>
              </w:rPr>
            </w:pPr>
            <w:r w:rsidRPr="00AD5078">
              <w:rPr>
                <w:rFonts w:ascii="Aptos" w:eastAsia="Times New Roman" w:hAnsi="Aptos" w:cs="Times New Roman"/>
                <w:sz w:val="24"/>
                <w:szCs w:val="24"/>
                <w:lang w:val="es-ES_tradnl"/>
              </w:rPr>
              <w:t>Respecto a la modificación propuesta para el parágrafo transitorio del artículo 9, desde el Ministerio de Minas y Energía se encuentra pertinente que el análisis y posterior implementación de mecanismos de fomento a la demanda se extiendan a los derivados del hidrógeno. En ese sentido se considera oportuno que el tiempo para la creación de mecanismo de financiamiento establecido en parágrafo transitorio sea modificado en términos de período de concepción del mecanismo y las vigencias en las que los proyectos se encuentren en construcción.</w:t>
            </w:r>
          </w:p>
          <w:p w14:paraId="3A4CCCFC" w14:textId="77777777" w:rsidR="00B810CB" w:rsidRPr="00AD5078" w:rsidRDefault="00B810CB" w:rsidP="004C741C">
            <w:pPr>
              <w:spacing w:before="21" w:after="0"/>
              <w:jc w:val="both"/>
              <w:rPr>
                <w:rFonts w:ascii="Aptos" w:eastAsia="Times New Roman" w:hAnsi="Aptos" w:cs="Times New Roman"/>
                <w:sz w:val="24"/>
                <w:szCs w:val="24"/>
                <w:lang w:val="es-ES_tradnl"/>
              </w:rPr>
            </w:pPr>
          </w:p>
        </w:tc>
      </w:tr>
      <w:tr w:rsidR="00B810CB" w:rsidRPr="00AD5078" w14:paraId="3970C5C9" w14:textId="77777777" w:rsidTr="004C741C">
        <w:trPr>
          <w:trHeight w:val="303"/>
          <w:jc w:val="center"/>
        </w:trPr>
        <w:tc>
          <w:tcPr>
            <w:tcW w:w="1016" w:type="dxa"/>
          </w:tcPr>
          <w:p w14:paraId="2BC087A2" w14:textId="77777777" w:rsidR="00B810CB" w:rsidRPr="00AD5078" w:rsidRDefault="00B810CB" w:rsidP="004C741C">
            <w:pPr>
              <w:jc w:val="both"/>
              <w:rPr>
                <w:rFonts w:ascii="Aptos" w:eastAsia="Times New Roman" w:hAnsi="Aptos" w:cs="Times New Roman"/>
                <w:b/>
                <w:bCs/>
                <w:sz w:val="24"/>
                <w:szCs w:val="24"/>
                <w:lang w:val="es-ES_tradnl"/>
              </w:rPr>
            </w:pPr>
            <w:r w:rsidRPr="00AD5078">
              <w:rPr>
                <w:rFonts w:ascii="Aptos" w:eastAsia="Times New Roman" w:hAnsi="Aptos" w:cs="Times New Roman"/>
                <w:b/>
                <w:bCs/>
                <w:sz w:val="24"/>
                <w:szCs w:val="24"/>
                <w:lang w:val="es-ES_tradnl"/>
              </w:rPr>
              <w:lastRenderedPageBreak/>
              <w:t>10</w:t>
            </w:r>
          </w:p>
        </w:tc>
        <w:tc>
          <w:tcPr>
            <w:tcW w:w="7484" w:type="dxa"/>
          </w:tcPr>
          <w:p w14:paraId="142009E7" w14:textId="77777777" w:rsidR="00B810CB" w:rsidRPr="00AD5078" w:rsidRDefault="00B810CB" w:rsidP="004C741C">
            <w:pPr>
              <w:spacing w:after="0" w:line="240" w:lineRule="auto"/>
              <w:jc w:val="both"/>
              <w:rPr>
                <w:rFonts w:ascii="Aptos" w:eastAsia="Times New Roman" w:hAnsi="Aptos" w:cs="Times New Roman"/>
                <w:sz w:val="24"/>
                <w:szCs w:val="24"/>
                <w:lang w:val="es-ES_tradnl"/>
              </w:rPr>
            </w:pPr>
            <w:r w:rsidRPr="00AD5078">
              <w:rPr>
                <w:rFonts w:ascii="Aptos" w:eastAsia="Times New Roman" w:hAnsi="Aptos" w:cs="Times New Roman"/>
                <w:b/>
                <w:bCs/>
                <w:sz w:val="24"/>
                <w:szCs w:val="24"/>
                <w:lang w:val="es-ES_tradnl"/>
              </w:rPr>
              <w:t xml:space="preserve">Incentivos el desarrollo tecnológico. </w:t>
            </w:r>
            <w:r w:rsidRPr="00AD5078">
              <w:rPr>
                <w:rFonts w:ascii="Aptos" w:eastAsia="Times New Roman" w:hAnsi="Aptos" w:cs="Times New Roman"/>
                <w:sz w:val="24"/>
                <w:szCs w:val="24"/>
                <w:lang w:val="es-ES_tradnl"/>
              </w:rPr>
              <w:t xml:space="preserve">El Ministerio de Minas y </w:t>
            </w:r>
            <w:proofErr w:type="gramStart"/>
            <w:r w:rsidRPr="00AD5078">
              <w:rPr>
                <w:rFonts w:ascii="Aptos" w:eastAsia="Times New Roman" w:hAnsi="Aptos" w:cs="Times New Roman"/>
                <w:sz w:val="24"/>
                <w:szCs w:val="24"/>
                <w:lang w:val="es-ES_tradnl"/>
              </w:rPr>
              <w:t>Energía  y</w:t>
            </w:r>
            <w:proofErr w:type="gramEnd"/>
            <w:r w:rsidRPr="00AD5078">
              <w:rPr>
                <w:rFonts w:ascii="Aptos" w:eastAsia="Times New Roman" w:hAnsi="Aptos" w:cs="Times New Roman"/>
                <w:sz w:val="24"/>
                <w:szCs w:val="24"/>
                <w:lang w:val="es-ES_tradnl"/>
              </w:rPr>
              <w:t xml:space="preserve">  el Ministerio de Transporte, junto con el Ministerio de Ciencia, Tecnología e Innovación y el Ministerio de Comercio, Industria y Turismo establecerán dentro de los seis (6) meses siguientes a la promulgación de la presente ley, mecanismos que incentiven el desarrollo tecnológico del encadenamiento productivo para la adopción y el escalamiento de la producción y consumo de hidrógeno de bajas emisiones y sus derivados en el país. Lo anterior incluye las investigaciones de fuentes competitivas no convencionales de energía renovable para la producción de hidrógeno de bajas emisiones y sus derivados, acompañando el desarrollo y la consolidación de clústeres locales y regionales para su consumo, incluyendo uso en puertos, aeropuertos para aplicaciones marítimas y aéreas, cumpliendo con los lineamientos de certificación de origen, así como incentivos para su exportación a mercados internacionales; manteniendo los incentivos contenidos en las leyes 2099 de 2021 y 1715 de 2014 o aquella que la reemplace, sustituya o modifique.</w:t>
            </w:r>
          </w:p>
          <w:p w14:paraId="2C28914D" w14:textId="77777777" w:rsidR="00B810CB" w:rsidRPr="00AD5078" w:rsidRDefault="00B810CB" w:rsidP="004C741C">
            <w:pPr>
              <w:spacing w:after="0" w:line="240" w:lineRule="auto"/>
              <w:jc w:val="both"/>
              <w:rPr>
                <w:rFonts w:ascii="Aptos" w:eastAsia="Times New Roman" w:hAnsi="Aptos" w:cs="Times New Roman"/>
                <w:sz w:val="24"/>
                <w:szCs w:val="24"/>
                <w:lang w:val="es-ES_tradnl"/>
              </w:rPr>
            </w:pPr>
          </w:p>
          <w:p w14:paraId="2B5AFB29" w14:textId="77777777" w:rsidR="00B810CB" w:rsidRPr="00AD5078" w:rsidRDefault="00B810CB" w:rsidP="004C741C">
            <w:pPr>
              <w:jc w:val="both"/>
              <w:rPr>
                <w:rFonts w:ascii="Aptos" w:eastAsia="Times New Roman" w:hAnsi="Aptos" w:cs="Times New Roman"/>
                <w:sz w:val="24"/>
                <w:szCs w:val="24"/>
                <w:lang w:val="es-ES_tradnl"/>
              </w:rPr>
            </w:pPr>
          </w:p>
        </w:tc>
        <w:tc>
          <w:tcPr>
            <w:tcW w:w="3402" w:type="dxa"/>
          </w:tcPr>
          <w:p w14:paraId="5C62129C" w14:textId="77777777" w:rsidR="00B810CB" w:rsidRPr="00AD5078" w:rsidRDefault="00B810CB" w:rsidP="004C741C">
            <w:pPr>
              <w:jc w:val="both"/>
              <w:rPr>
                <w:rFonts w:ascii="Aptos" w:eastAsia="Times New Roman" w:hAnsi="Aptos" w:cs="Times New Roman"/>
                <w:sz w:val="24"/>
                <w:szCs w:val="24"/>
                <w:lang w:val="es-ES_tradnl"/>
              </w:rPr>
            </w:pPr>
            <w:r w:rsidRPr="00AD5078">
              <w:rPr>
                <w:rFonts w:ascii="Aptos" w:eastAsia="Times New Roman" w:hAnsi="Aptos" w:cs="Times New Roman"/>
                <w:sz w:val="24"/>
                <w:szCs w:val="24"/>
                <w:lang w:val="es-ES_tradnl"/>
              </w:rPr>
              <w:t>Sin modificaciones.</w:t>
            </w:r>
          </w:p>
        </w:tc>
      </w:tr>
      <w:tr w:rsidR="00B810CB" w:rsidRPr="00AD5078" w14:paraId="08523743" w14:textId="77777777" w:rsidTr="004C741C">
        <w:trPr>
          <w:trHeight w:val="303"/>
          <w:jc w:val="center"/>
        </w:trPr>
        <w:tc>
          <w:tcPr>
            <w:tcW w:w="1016" w:type="dxa"/>
          </w:tcPr>
          <w:p w14:paraId="36608510" w14:textId="77777777" w:rsidR="00B810CB" w:rsidRPr="00AD5078" w:rsidRDefault="00B810CB" w:rsidP="004C741C">
            <w:pPr>
              <w:jc w:val="both"/>
              <w:rPr>
                <w:rFonts w:ascii="Aptos" w:eastAsia="Times New Roman" w:hAnsi="Aptos" w:cs="Times New Roman"/>
                <w:b/>
                <w:bCs/>
                <w:sz w:val="24"/>
                <w:szCs w:val="24"/>
                <w:lang w:val="es-ES_tradnl"/>
              </w:rPr>
            </w:pPr>
            <w:r w:rsidRPr="00AD5078">
              <w:rPr>
                <w:rFonts w:ascii="Aptos" w:eastAsia="Times New Roman" w:hAnsi="Aptos" w:cs="Times New Roman"/>
                <w:b/>
                <w:bCs/>
                <w:sz w:val="24"/>
                <w:szCs w:val="24"/>
                <w:lang w:val="es-ES_tradnl"/>
              </w:rPr>
              <w:t>11</w:t>
            </w:r>
          </w:p>
        </w:tc>
        <w:tc>
          <w:tcPr>
            <w:tcW w:w="7484" w:type="dxa"/>
          </w:tcPr>
          <w:p w14:paraId="2FDD96DF" w14:textId="77777777" w:rsidR="00B810CB" w:rsidRPr="00AD5078" w:rsidRDefault="00B810CB" w:rsidP="004C741C">
            <w:pPr>
              <w:spacing w:after="0" w:line="240" w:lineRule="auto"/>
              <w:jc w:val="both"/>
              <w:rPr>
                <w:rFonts w:ascii="Aptos" w:eastAsia="Times New Roman" w:hAnsi="Aptos" w:cs="Times New Roman"/>
                <w:sz w:val="24"/>
                <w:szCs w:val="24"/>
                <w:lang w:val="es-ES_tradnl"/>
              </w:rPr>
            </w:pPr>
            <w:r w:rsidRPr="00AD5078">
              <w:rPr>
                <w:rFonts w:ascii="Aptos" w:eastAsia="Times New Roman" w:hAnsi="Aptos" w:cs="Times New Roman"/>
                <w:b/>
                <w:bCs/>
                <w:sz w:val="24"/>
                <w:szCs w:val="24"/>
                <w:lang w:val="es-ES_tradnl"/>
              </w:rPr>
              <w:t xml:space="preserve">ARTÍCULO 11°. Incentivo y promoción de la industria nacional de hidrógeno de Bajas Emisiones y sus Derivados. </w:t>
            </w:r>
            <w:r w:rsidRPr="00AD5078">
              <w:rPr>
                <w:rFonts w:ascii="Aptos" w:eastAsia="Times New Roman" w:hAnsi="Aptos" w:cs="Times New Roman"/>
                <w:sz w:val="24"/>
                <w:szCs w:val="24"/>
                <w:lang w:val="es-ES_tradnl"/>
              </w:rPr>
              <w:t>Con la de la presente Ley, el Gobierno nacional a través de sus entidades, en el marco de sus competencias deberá generar incentivos económicos a la industria nacional que permitan el desarrollo de actividades conexas, complementarias o necesarias para la materialización del objeto de la presente ley, manteniendo los incentivos contenidos en las leyes 2099 de 2021 y 1715 de 2014 o aquella que la reemplace, sustituya o modifique. De igual forma, se extienden los beneficios definidos en los artículos 11, 12, 13 y 14 de la Ley 1715 de 2014 a los proyectos de hidrógeno de bajas emisiones, y de sus derivados tales como amoniaco, metanol, combustibles sintéticos, entre otros que utilicen integrados al proyecto.</w:t>
            </w:r>
          </w:p>
          <w:p w14:paraId="62F1BD9B" w14:textId="77777777" w:rsidR="00B810CB" w:rsidRPr="00AD5078" w:rsidRDefault="00B810CB" w:rsidP="004C741C">
            <w:pPr>
              <w:spacing w:after="0" w:line="240" w:lineRule="auto"/>
              <w:jc w:val="both"/>
              <w:rPr>
                <w:rFonts w:ascii="Aptos" w:eastAsia="Times New Roman" w:hAnsi="Aptos" w:cs="Times New Roman"/>
                <w:sz w:val="24"/>
                <w:szCs w:val="24"/>
                <w:lang w:val="es-ES_tradnl"/>
              </w:rPr>
            </w:pPr>
            <w:r w:rsidRPr="00AD5078">
              <w:rPr>
                <w:rFonts w:ascii="Aptos" w:eastAsia="Times New Roman" w:hAnsi="Aptos" w:cs="Times New Roman"/>
                <w:b/>
                <w:bCs/>
                <w:sz w:val="24"/>
                <w:szCs w:val="24"/>
                <w:lang w:val="es-ES_tradnl"/>
              </w:rPr>
              <w:t xml:space="preserve">Parágrafo 1°. </w:t>
            </w:r>
            <w:r w:rsidRPr="00AD5078">
              <w:rPr>
                <w:rFonts w:ascii="Aptos" w:eastAsia="Times New Roman" w:hAnsi="Aptos" w:cs="Times New Roman"/>
                <w:sz w:val="24"/>
                <w:szCs w:val="24"/>
                <w:lang w:val="es-ES_tradnl"/>
              </w:rPr>
              <w:t>el Ministerio de Ambiente y Desarrollo Sostenible y el Ministerio de Minas y Energía podrán definir la curva de incentivos progresivos según el porcentaje de abatimiento de gases de efecto invernadero (GEI) asociados a cada proyecto que presente solicitud de beneficio económico.</w:t>
            </w:r>
          </w:p>
          <w:p w14:paraId="6F03BFEB" w14:textId="77777777" w:rsidR="00B810CB" w:rsidRPr="00AD5078" w:rsidRDefault="00B810CB" w:rsidP="004C741C">
            <w:pPr>
              <w:spacing w:after="0" w:line="240" w:lineRule="auto"/>
              <w:jc w:val="both"/>
              <w:rPr>
                <w:rFonts w:ascii="Aptos" w:eastAsia="Times New Roman" w:hAnsi="Aptos" w:cs="Times New Roman"/>
                <w:sz w:val="24"/>
                <w:szCs w:val="24"/>
                <w:lang w:val="es-ES_tradnl"/>
              </w:rPr>
            </w:pPr>
            <w:r w:rsidRPr="00AD5078">
              <w:rPr>
                <w:rFonts w:ascii="Aptos" w:eastAsia="Times New Roman" w:hAnsi="Aptos" w:cs="Times New Roman"/>
                <w:b/>
                <w:bCs/>
                <w:sz w:val="24"/>
                <w:szCs w:val="24"/>
                <w:lang w:val="es-ES_tradnl"/>
              </w:rPr>
              <w:lastRenderedPageBreak/>
              <w:t xml:space="preserve">Parágrafo 2°. </w:t>
            </w:r>
            <w:r w:rsidRPr="00AD5078">
              <w:rPr>
                <w:rFonts w:ascii="Aptos" w:eastAsia="Times New Roman" w:hAnsi="Aptos" w:cs="Times New Roman"/>
                <w:sz w:val="24"/>
                <w:szCs w:val="24"/>
                <w:lang w:val="es-ES_tradnl"/>
              </w:rPr>
              <w:t xml:space="preserve">El Ministerio de Minas y Energía deberá determinar los incentivos económicos transferibles a los contratos de </w:t>
            </w:r>
            <w:proofErr w:type="gramStart"/>
            <w:r w:rsidRPr="00AD5078">
              <w:rPr>
                <w:rFonts w:ascii="Aptos" w:eastAsia="Times New Roman" w:hAnsi="Aptos" w:cs="Times New Roman"/>
                <w:sz w:val="24"/>
                <w:szCs w:val="24"/>
                <w:lang w:val="es-ES_tradnl"/>
              </w:rPr>
              <w:t>compra venta</w:t>
            </w:r>
            <w:proofErr w:type="gramEnd"/>
            <w:r w:rsidRPr="00AD5078">
              <w:rPr>
                <w:rFonts w:ascii="Aptos" w:eastAsia="Times New Roman" w:hAnsi="Aptos" w:cs="Times New Roman"/>
                <w:sz w:val="24"/>
                <w:szCs w:val="24"/>
                <w:lang w:val="es-ES_tradnl"/>
              </w:rPr>
              <w:t xml:space="preserve"> de energía destinados a la producción de hidrógeno. De igual manera, considerará el desarrollo de incentivos económicos para los contratos de </w:t>
            </w:r>
            <w:proofErr w:type="gramStart"/>
            <w:r w:rsidRPr="00AD5078">
              <w:rPr>
                <w:rFonts w:ascii="Aptos" w:eastAsia="Times New Roman" w:hAnsi="Aptos" w:cs="Times New Roman"/>
                <w:sz w:val="24"/>
                <w:szCs w:val="24"/>
                <w:lang w:val="es-ES_tradnl"/>
              </w:rPr>
              <w:t>compra venta</w:t>
            </w:r>
            <w:proofErr w:type="gramEnd"/>
            <w:r w:rsidRPr="00AD5078">
              <w:rPr>
                <w:rFonts w:ascii="Aptos" w:eastAsia="Times New Roman" w:hAnsi="Aptos" w:cs="Times New Roman"/>
                <w:sz w:val="24"/>
                <w:szCs w:val="24"/>
                <w:lang w:val="es-ES_tradnl"/>
              </w:rPr>
              <w:t xml:space="preserve"> de hidrógeno destinados a su uso, consumo y aplicación. Estos incentivos estarán supeditados a la disponibilidad fiscal del Estado y serán acordados con el Ministerio de Hacienda y Crédito Público.</w:t>
            </w:r>
          </w:p>
          <w:p w14:paraId="7DE687B0" w14:textId="77777777" w:rsidR="00B810CB" w:rsidRPr="00AD5078" w:rsidRDefault="00B810CB" w:rsidP="004C741C">
            <w:pPr>
              <w:spacing w:after="0" w:line="240" w:lineRule="auto"/>
              <w:jc w:val="both"/>
              <w:rPr>
                <w:rFonts w:ascii="Aptos" w:eastAsia="Times New Roman" w:hAnsi="Aptos" w:cs="Times New Roman"/>
                <w:sz w:val="24"/>
                <w:szCs w:val="24"/>
                <w:lang w:val="es-ES_tradnl"/>
              </w:rPr>
            </w:pPr>
            <w:r w:rsidRPr="00AD5078">
              <w:rPr>
                <w:rFonts w:ascii="Aptos" w:eastAsia="Times New Roman" w:hAnsi="Aptos" w:cs="Times New Roman"/>
                <w:b/>
                <w:bCs/>
                <w:sz w:val="24"/>
                <w:szCs w:val="24"/>
                <w:lang w:val="es-ES_tradnl"/>
              </w:rPr>
              <w:t xml:space="preserve">Parágrafo 3°. </w:t>
            </w:r>
            <w:r w:rsidRPr="00AD5078">
              <w:rPr>
                <w:rFonts w:ascii="Aptos" w:eastAsia="Times New Roman" w:hAnsi="Aptos" w:cs="Times New Roman"/>
                <w:sz w:val="24"/>
                <w:szCs w:val="24"/>
                <w:lang w:val="es-ES_tradnl"/>
              </w:rPr>
              <w:t>El Gobierno nacional y las entidades territoriales, atendiendo sus competencias constitucionales y legales, por medio del sistemas de presentación de proyectos al OCAD Paz, priorizarán el desarrollo de aquellos relacionados con el uso del hidrógeno de bajas emisiones y sus derivados como fuente de energía sustentable, para ello, se garantizará la integración de criterios técnicos, ambientales y sociales en la evaluación de los proyectos beneficiarios de dichos incentivos.</w:t>
            </w:r>
          </w:p>
          <w:p w14:paraId="0FF06BBE" w14:textId="77777777" w:rsidR="00B810CB" w:rsidRPr="00AD5078" w:rsidRDefault="00B810CB" w:rsidP="004C741C">
            <w:pPr>
              <w:jc w:val="both"/>
              <w:rPr>
                <w:rFonts w:ascii="Aptos" w:eastAsia="Times New Roman" w:hAnsi="Aptos" w:cs="Times New Roman"/>
                <w:sz w:val="24"/>
                <w:szCs w:val="24"/>
                <w:lang w:val="es-ES_tradnl"/>
              </w:rPr>
            </w:pPr>
          </w:p>
        </w:tc>
        <w:tc>
          <w:tcPr>
            <w:tcW w:w="3402" w:type="dxa"/>
          </w:tcPr>
          <w:p w14:paraId="156214CB" w14:textId="77777777" w:rsidR="00B810CB" w:rsidRPr="00AD5078" w:rsidRDefault="00B810CB" w:rsidP="004C741C">
            <w:pPr>
              <w:spacing w:after="0"/>
              <w:jc w:val="both"/>
              <w:rPr>
                <w:rFonts w:ascii="Aptos" w:eastAsia="Times New Roman" w:hAnsi="Aptos" w:cs="Times New Roman"/>
                <w:sz w:val="24"/>
                <w:szCs w:val="24"/>
                <w:lang w:val="es-ES_tradnl"/>
              </w:rPr>
            </w:pPr>
            <w:r w:rsidRPr="00AD5078">
              <w:rPr>
                <w:rFonts w:ascii="Aptos" w:eastAsia="Times New Roman" w:hAnsi="Aptos" w:cs="Times New Roman"/>
                <w:sz w:val="24"/>
                <w:szCs w:val="24"/>
                <w:lang w:val="es-ES_tradnl"/>
              </w:rPr>
              <w:lastRenderedPageBreak/>
              <w:t xml:space="preserve">Para este artículo se sugiere ajustar redacción,  </w:t>
            </w:r>
          </w:p>
          <w:p w14:paraId="6EC46F22" w14:textId="77777777" w:rsidR="00B810CB" w:rsidRPr="00AD5078" w:rsidRDefault="00B810CB" w:rsidP="004C741C">
            <w:pPr>
              <w:spacing w:after="0"/>
              <w:jc w:val="both"/>
              <w:rPr>
                <w:rFonts w:ascii="Aptos" w:eastAsia="Times New Roman" w:hAnsi="Aptos" w:cs="Times New Roman"/>
                <w:sz w:val="24"/>
                <w:szCs w:val="24"/>
                <w:lang w:val="es-ES_tradnl"/>
              </w:rPr>
            </w:pPr>
          </w:p>
          <w:p w14:paraId="00E85ED2" w14:textId="77777777" w:rsidR="00B810CB" w:rsidRPr="00AD5078" w:rsidRDefault="00B810CB" w:rsidP="004C741C">
            <w:pPr>
              <w:spacing w:after="0"/>
              <w:jc w:val="both"/>
              <w:rPr>
                <w:rFonts w:ascii="Aptos" w:eastAsia="Times New Roman" w:hAnsi="Aptos" w:cs="Times New Roman"/>
                <w:sz w:val="24"/>
                <w:szCs w:val="24"/>
                <w:lang w:val="es-ES_tradnl"/>
              </w:rPr>
            </w:pPr>
            <w:r w:rsidRPr="00AD5078">
              <w:rPr>
                <w:rFonts w:ascii="Aptos" w:eastAsia="Times New Roman" w:hAnsi="Aptos" w:cs="Times New Roman"/>
                <w:sz w:val="24"/>
                <w:szCs w:val="24"/>
                <w:lang w:val="es-ES_tradnl"/>
              </w:rPr>
              <w:t xml:space="preserve">“ARTÍCULO 11°. Incentivo y promoción de la industria nacional de hidrógeno de Bajas Emisiones y sus Derivados. Con la </w:t>
            </w:r>
            <w:r w:rsidRPr="00AD5078">
              <w:rPr>
                <w:rFonts w:ascii="Aptos" w:eastAsia="Times New Roman" w:hAnsi="Aptos" w:cs="Times New Roman"/>
                <w:sz w:val="24"/>
                <w:szCs w:val="24"/>
                <w:u w:val="single"/>
                <w:lang w:val="es-ES_tradnl"/>
              </w:rPr>
              <w:t>expedición</w:t>
            </w:r>
            <w:r w:rsidRPr="00AD5078">
              <w:rPr>
                <w:rFonts w:ascii="Aptos" w:eastAsia="Times New Roman" w:hAnsi="Aptos" w:cs="Times New Roman"/>
                <w:sz w:val="24"/>
                <w:szCs w:val="24"/>
                <w:lang w:val="es-ES_tradnl"/>
              </w:rPr>
              <w:t xml:space="preserve"> de la presente Ley, el Gobierno nacional a través de sus entidades, en el marco de sus competencias deberá generar incentivos económicos(...)”. Adicionalmente, se sugiere conservar dentro de la redacción el texto que se pretende eliminar “Los </w:t>
            </w:r>
            <w:r w:rsidRPr="00AD5078">
              <w:rPr>
                <w:rFonts w:ascii="Aptos" w:eastAsia="Times New Roman" w:hAnsi="Aptos" w:cs="Times New Roman"/>
                <w:sz w:val="24"/>
                <w:szCs w:val="24"/>
                <w:lang w:val="es-ES_tradnl"/>
              </w:rPr>
              <w:lastRenderedPageBreak/>
              <w:t xml:space="preserve">programas de incentivos económicos deberán ser progresivos según impacto de abatimiento de gases efecto invernadero” teniendo en cuenta que en la redacción del artículo se indica que el Gobierno nacional a través de sus entidades, en el marco de sus competencias deberá generar incentivos económicos a la industria nacional que permitan el desarrollo de actividades conexas, complementarias o necesarias para la materialización del objeto de la presente ley, adicionales a los establecidos en las leyes 2099 de 2021 y 1715 de 2014, por lo que la utilización del impacto en abatimiento de gases de efecto invernadero como criterio para la progresividad de los incentivos económicos resulta ser una categoría adecuada para evaluar y hacer seguimiento al cumplimiento de su propósito. </w:t>
            </w:r>
          </w:p>
          <w:p w14:paraId="6D8A4E51" w14:textId="77777777" w:rsidR="00B810CB" w:rsidRPr="00AD5078" w:rsidRDefault="00B810CB" w:rsidP="004C741C">
            <w:pPr>
              <w:spacing w:after="0"/>
              <w:jc w:val="both"/>
              <w:rPr>
                <w:rFonts w:ascii="Aptos" w:eastAsia="Times New Roman" w:hAnsi="Aptos" w:cs="Times New Roman"/>
                <w:sz w:val="24"/>
                <w:szCs w:val="24"/>
                <w:lang w:val="es-ES_tradnl"/>
              </w:rPr>
            </w:pPr>
            <w:r w:rsidRPr="00AD5078">
              <w:rPr>
                <w:rFonts w:ascii="Aptos" w:eastAsia="Times New Roman" w:hAnsi="Aptos" w:cs="Times New Roman"/>
                <w:sz w:val="24"/>
                <w:szCs w:val="24"/>
                <w:lang w:val="es-ES_tradnl"/>
              </w:rPr>
              <w:t xml:space="preserve"> </w:t>
            </w:r>
          </w:p>
          <w:p w14:paraId="6DEB63D3" w14:textId="77777777" w:rsidR="00B810CB" w:rsidRPr="00AD5078" w:rsidRDefault="00B810CB" w:rsidP="004C741C">
            <w:pPr>
              <w:spacing w:after="0"/>
              <w:jc w:val="both"/>
              <w:rPr>
                <w:rFonts w:ascii="Aptos" w:eastAsia="Times New Roman" w:hAnsi="Aptos" w:cs="Times New Roman"/>
                <w:sz w:val="24"/>
                <w:szCs w:val="24"/>
                <w:lang w:val="es-ES_tradnl"/>
              </w:rPr>
            </w:pPr>
            <w:r w:rsidRPr="00AD5078">
              <w:rPr>
                <w:rFonts w:ascii="Aptos" w:eastAsia="Times New Roman" w:hAnsi="Aptos" w:cs="Times New Roman"/>
                <w:sz w:val="24"/>
                <w:szCs w:val="24"/>
                <w:lang w:val="es-ES_tradnl"/>
              </w:rPr>
              <w:t xml:space="preserve">Con esta consideración, desde el Ministerio de Minas y Energía se considera necesario conservar redacción original, así: </w:t>
            </w:r>
          </w:p>
          <w:p w14:paraId="7A617854" w14:textId="77777777" w:rsidR="00B810CB" w:rsidRPr="00AD5078" w:rsidRDefault="00B810CB" w:rsidP="004C741C">
            <w:pPr>
              <w:spacing w:after="0"/>
              <w:jc w:val="both"/>
              <w:rPr>
                <w:rFonts w:ascii="Aptos" w:eastAsia="Times New Roman" w:hAnsi="Aptos" w:cs="Times New Roman"/>
                <w:sz w:val="24"/>
                <w:szCs w:val="24"/>
                <w:lang w:val="es-ES_tradnl"/>
              </w:rPr>
            </w:pPr>
            <w:r w:rsidRPr="00AD5078">
              <w:rPr>
                <w:rFonts w:ascii="Aptos" w:eastAsia="Times New Roman" w:hAnsi="Aptos" w:cs="Times New Roman"/>
                <w:sz w:val="24"/>
                <w:szCs w:val="24"/>
                <w:lang w:val="es-ES_tradnl"/>
              </w:rPr>
              <w:lastRenderedPageBreak/>
              <w:t xml:space="preserve">Parágrafo 1°. el Ministerio de Ambiente y Desarrollo Sostenible y el Ministerio de Minas y Energía definirán la curva de incentivos progresivos según el porcentaje de abatimiento de gases de efecto invernadero (GEI) asociados a cada proyecto que presente solicitud de beneficio económico. </w:t>
            </w:r>
          </w:p>
        </w:tc>
      </w:tr>
      <w:tr w:rsidR="00B810CB" w:rsidRPr="00AD5078" w14:paraId="3F0AECBB" w14:textId="77777777" w:rsidTr="004C741C">
        <w:trPr>
          <w:trHeight w:val="303"/>
          <w:jc w:val="center"/>
        </w:trPr>
        <w:tc>
          <w:tcPr>
            <w:tcW w:w="1016" w:type="dxa"/>
          </w:tcPr>
          <w:p w14:paraId="551ECBD9" w14:textId="77777777" w:rsidR="00B810CB" w:rsidRPr="00AD5078" w:rsidRDefault="00B810CB" w:rsidP="004C741C">
            <w:pPr>
              <w:jc w:val="both"/>
              <w:rPr>
                <w:rFonts w:ascii="Aptos" w:eastAsia="Times New Roman" w:hAnsi="Aptos" w:cs="Times New Roman"/>
                <w:b/>
                <w:bCs/>
                <w:sz w:val="24"/>
                <w:szCs w:val="24"/>
                <w:lang w:val="es-ES_tradnl"/>
              </w:rPr>
            </w:pPr>
            <w:r w:rsidRPr="00AD5078">
              <w:rPr>
                <w:rFonts w:ascii="Aptos" w:eastAsia="Times New Roman" w:hAnsi="Aptos" w:cs="Times New Roman"/>
                <w:b/>
                <w:bCs/>
                <w:sz w:val="24"/>
                <w:szCs w:val="24"/>
                <w:lang w:val="es-ES_tradnl"/>
              </w:rPr>
              <w:lastRenderedPageBreak/>
              <w:t>12</w:t>
            </w:r>
          </w:p>
        </w:tc>
        <w:tc>
          <w:tcPr>
            <w:tcW w:w="7484" w:type="dxa"/>
          </w:tcPr>
          <w:p w14:paraId="197F1AC0" w14:textId="77777777" w:rsidR="00B810CB" w:rsidRPr="00AD5078" w:rsidRDefault="00B810CB" w:rsidP="004C741C">
            <w:pPr>
              <w:spacing w:after="0" w:line="240" w:lineRule="auto"/>
              <w:jc w:val="both"/>
              <w:rPr>
                <w:rFonts w:ascii="Aptos" w:eastAsia="Times New Roman" w:hAnsi="Aptos" w:cs="Times New Roman"/>
                <w:sz w:val="24"/>
                <w:szCs w:val="24"/>
                <w:lang w:val="es-ES_tradnl"/>
              </w:rPr>
            </w:pPr>
            <w:r w:rsidRPr="00AD5078">
              <w:rPr>
                <w:rFonts w:ascii="Aptos" w:eastAsia="Times New Roman" w:hAnsi="Aptos" w:cs="Times New Roman"/>
                <w:b/>
                <w:bCs/>
                <w:sz w:val="24"/>
                <w:szCs w:val="24"/>
                <w:lang w:val="es-ES_tradnl"/>
              </w:rPr>
              <w:t xml:space="preserve">Promoción de la formación, investigación y desarrollo tecnológico. </w:t>
            </w:r>
            <w:r w:rsidRPr="00AD5078">
              <w:rPr>
                <w:rFonts w:ascii="Aptos" w:eastAsia="Times New Roman" w:hAnsi="Aptos" w:cs="Times New Roman"/>
                <w:sz w:val="24"/>
                <w:szCs w:val="24"/>
                <w:lang w:val="es-ES_tradnl"/>
              </w:rPr>
              <w:t>El Gobierno nacional en cabeza del Ministerio de Minas y Energía, el Ministerio de Educación Nacional, el Ministerio de Transporte, y el Ministerio de Ciencia, Tecnología e Innovación deberá promover la formación, investigación y desarrollo tecnológico que incorpore los procesos de producción, almacenamiento, acondicionamiento y usos, energéticos y no energéticos, del hidrógeno y sus derivados en todo el territorio nacional.</w:t>
            </w:r>
          </w:p>
          <w:p w14:paraId="3C320633" w14:textId="77777777" w:rsidR="00B810CB" w:rsidRPr="00AD5078" w:rsidRDefault="00B810CB" w:rsidP="004C741C">
            <w:pPr>
              <w:spacing w:after="0" w:line="240" w:lineRule="auto"/>
              <w:jc w:val="both"/>
              <w:rPr>
                <w:rFonts w:ascii="Aptos" w:eastAsia="Times New Roman" w:hAnsi="Aptos" w:cs="Times New Roman"/>
                <w:sz w:val="24"/>
                <w:szCs w:val="24"/>
                <w:lang w:val="es-ES_tradnl"/>
              </w:rPr>
            </w:pPr>
            <w:r w:rsidRPr="00AD5078">
              <w:rPr>
                <w:rFonts w:ascii="Aptos" w:eastAsia="Times New Roman" w:hAnsi="Aptos" w:cs="Times New Roman"/>
                <w:b/>
                <w:bCs/>
                <w:sz w:val="24"/>
                <w:szCs w:val="24"/>
                <w:lang w:val="es-ES_tradnl"/>
              </w:rPr>
              <w:t xml:space="preserve">Parágrafo. </w:t>
            </w:r>
            <w:r w:rsidRPr="00AD5078">
              <w:rPr>
                <w:rFonts w:ascii="Aptos" w:eastAsia="Times New Roman" w:hAnsi="Aptos" w:cs="Times New Roman"/>
                <w:sz w:val="24"/>
                <w:szCs w:val="24"/>
                <w:lang w:val="es-ES_tradnl"/>
              </w:rPr>
              <w:t>Para los efectos de que trata el presente artículo, podrán hacer uso de mecanismos de cooperación, realizar alianzas con universidades y entidades de sector público y privado a nivel nacional con el fin de incentivar la formación, investigación y desarrollo en cualquiera de las etapas de la cadena de valor del hidrógeno.</w:t>
            </w:r>
          </w:p>
          <w:p w14:paraId="6624B32F" w14:textId="77777777" w:rsidR="00B810CB" w:rsidRPr="00AD5078" w:rsidRDefault="00B810CB" w:rsidP="004C741C">
            <w:pPr>
              <w:jc w:val="both"/>
              <w:rPr>
                <w:rFonts w:ascii="Aptos" w:eastAsia="Times New Roman" w:hAnsi="Aptos" w:cs="Times New Roman"/>
                <w:sz w:val="24"/>
                <w:szCs w:val="24"/>
                <w:lang w:val="es-ES_tradnl"/>
              </w:rPr>
            </w:pPr>
          </w:p>
        </w:tc>
        <w:tc>
          <w:tcPr>
            <w:tcW w:w="3402" w:type="dxa"/>
          </w:tcPr>
          <w:p w14:paraId="28FAF80E" w14:textId="77777777" w:rsidR="00B810CB" w:rsidRPr="00AD5078" w:rsidRDefault="00B810CB" w:rsidP="004C741C">
            <w:pPr>
              <w:jc w:val="both"/>
              <w:rPr>
                <w:rFonts w:ascii="Aptos" w:eastAsia="Times New Roman" w:hAnsi="Aptos" w:cs="Times New Roman"/>
                <w:sz w:val="24"/>
                <w:szCs w:val="24"/>
                <w:lang w:val="es-ES_tradnl"/>
              </w:rPr>
            </w:pPr>
            <w:r w:rsidRPr="00AD5078">
              <w:rPr>
                <w:rFonts w:ascii="Aptos" w:eastAsia="Times New Roman" w:hAnsi="Aptos" w:cs="Times New Roman"/>
                <w:sz w:val="24"/>
                <w:szCs w:val="24"/>
                <w:lang w:val="es-ES_tradnl"/>
              </w:rPr>
              <w:t>Sin modificaciones.</w:t>
            </w:r>
          </w:p>
        </w:tc>
      </w:tr>
      <w:tr w:rsidR="00B810CB" w:rsidRPr="00AD5078" w14:paraId="143E2B26" w14:textId="77777777" w:rsidTr="004C741C">
        <w:trPr>
          <w:trHeight w:val="303"/>
          <w:jc w:val="center"/>
        </w:trPr>
        <w:tc>
          <w:tcPr>
            <w:tcW w:w="1016" w:type="dxa"/>
          </w:tcPr>
          <w:p w14:paraId="21288BE4" w14:textId="77777777" w:rsidR="00B810CB" w:rsidRPr="00AD5078" w:rsidRDefault="00B810CB" w:rsidP="004C741C">
            <w:pPr>
              <w:jc w:val="both"/>
              <w:rPr>
                <w:rFonts w:ascii="Aptos" w:eastAsia="Times New Roman" w:hAnsi="Aptos" w:cs="Times New Roman"/>
                <w:b/>
                <w:bCs/>
                <w:sz w:val="24"/>
                <w:szCs w:val="24"/>
                <w:lang w:val="es-ES_tradnl"/>
              </w:rPr>
            </w:pPr>
            <w:r w:rsidRPr="00AD5078">
              <w:rPr>
                <w:rFonts w:ascii="Aptos" w:eastAsia="Times New Roman" w:hAnsi="Aptos" w:cs="Times New Roman"/>
                <w:b/>
                <w:bCs/>
                <w:sz w:val="24"/>
                <w:szCs w:val="24"/>
                <w:lang w:val="es-ES_tradnl"/>
              </w:rPr>
              <w:t>13</w:t>
            </w:r>
          </w:p>
        </w:tc>
        <w:tc>
          <w:tcPr>
            <w:tcW w:w="7484" w:type="dxa"/>
          </w:tcPr>
          <w:p w14:paraId="2B8B6805" w14:textId="77777777" w:rsidR="00B810CB" w:rsidRPr="00AD5078" w:rsidRDefault="00B810CB" w:rsidP="004C741C">
            <w:pPr>
              <w:spacing w:after="0" w:line="240" w:lineRule="auto"/>
              <w:jc w:val="both"/>
              <w:rPr>
                <w:rFonts w:ascii="Aptos" w:eastAsia="Times New Roman" w:hAnsi="Aptos" w:cs="Times New Roman"/>
                <w:sz w:val="24"/>
                <w:szCs w:val="24"/>
                <w:lang w:val="es-ES_tradnl"/>
              </w:rPr>
            </w:pPr>
            <w:r w:rsidRPr="00AD5078">
              <w:rPr>
                <w:rFonts w:ascii="Aptos" w:eastAsia="Times New Roman" w:hAnsi="Aptos" w:cs="Times New Roman"/>
                <w:b/>
                <w:bCs/>
                <w:sz w:val="24"/>
                <w:szCs w:val="24"/>
                <w:lang w:val="es-ES_tradnl"/>
              </w:rPr>
              <w:t xml:space="preserve">Mecanismos de Financiamiento. </w:t>
            </w:r>
            <w:r w:rsidRPr="00AD5078">
              <w:rPr>
                <w:rFonts w:ascii="Aptos" w:eastAsia="Times New Roman" w:hAnsi="Aptos" w:cs="Times New Roman"/>
                <w:sz w:val="24"/>
                <w:szCs w:val="24"/>
                <w:lang w:val="es-ES_tradnl"/>
              </w:rPr>
              <w:t>Con el fin de promover el desarrollo de la producción y el consumo de hidrógeno y sus derivados en el país en búsqueda de una oferta competitiva, se incentivarán y fortalecerán los planes, programas y proyectos que involucren tanto la manufactura de equipos, dispositivos y tecnología asociada al ecosistema del hidrógeno, como al desarrollo de proyectos de producción, captura, almacenamiento, transporte, usos, así como la exportación de hidrógeno presentados para financiación ante el Fondo de Energías No Convencionales y Gestión Eficiente de la Energía (FENOGE) y del Fondo Único de Soluciones Energéticas - FONENERGÍA. Lo anterior, manteniendo los incentivos contenidos en las leyes 2099 de 2021 y 1715 de 2014 o aquella que la reemplace, sustituya o modifique.</w:t>
            </w:r>
          </w:p>
          <w:p w14:paraId="1E225884" w14:textId="77777777" w:rsidR="00B810CB" w:rsidRPr="00AD5078" w:rsidRDefault="00B810CB" w:rsidP="004C741C">
            <w:pPr>
              <w:jc w:val="both"/>
              <w:rPr>
                <w:rFonts w:ascii="Aptos" w:eastAsia="Times New Roman" w:hAnsi="Aptos" w:cs="Times New Roman"/>
                <w:sz w:val="24"/>
                <w:szCs w:val="24"/>
                <w:lang w:val="es-ES_tradnl"/>
              </w:rPr>
            </w:pPr>
          </w:p>
        </w:tc>
        <w:tc>
          <w:tcPr>
            <w:tcW w:w="3402" w:type="dxa"/>
          </w:tcPr>
          <w:p w14:paraId="26AA8B7C" w14:textId="77777777" w:rsidR="00B810CB" w:rsidRPr="00AD5078" w:rsidRDefault="00B810CB" w:rsidP="004C741C">
            <w:pPr>
              <w:spacing w:after="0"/>
              <w:jc w:val="both"/>
              <w:rPr>
                <w:rFonts w:ascii="Aptos" w:eastAsia="Times New Roman" w:hAnsi="Aptos" w:cs="Times New Roman"/>
                <w:sz w:val="24"/>
                <w:szCs w:val="24"/>
                <w:lang w:val="es-ES_tradnl"/>
              </w:rPr>
            </w:pPr>
            <w:r w:rsidRPr="00AD5078">
              <w:rPr>
                <w:rFonts w:ascii="Aptos" w:eastAsia="Times New Roman" w:hAnsi="Aptos" w:cs="Times New Roman"/>
                <w:sz w:val="24"/>
                <w:szCs w:val="24"/>
                <w:lang w:val="es-ES_tradnl"/>
              </w:rPr>
              <w:lastRenderedPageBreak/>
              <w:t xml:space="preserve">Para el artículo 13 se recomienda revisar redacción del artículo, en particular a lo relacionado con captura, clarificando si se refiere a captura de carbono, teniendo en cuenta que su redacción actual no permite identificar a qué hace referencia captura, así:  </w:t>
            </w:r>
          </w:p>
          <w:p w14:paraId="77B5CB1E" w14:textId="77777777" w:rsidR="00B810CB" w:rsidRPr="00AD5078" w:rsidRDefault="00B810CB" w:rsidP="004C741C">
            <w:pPr>
              <w:spacing w:after="0"/>
              <w:jc w:val="both"/>
              <w:rPr>
                <w:rFonts w:ascii="Aptos" w:eastAsia="Times New Roman" w:hAnsi="Aptos" w:cs="Times New Roman"/>
                <w:sz w:val="24"/>
                <w:szCs w:val="24"/>
                <w:lang w:val="es-ES_tradnl"/>
              </w:rPr>
            </w:pPr>
            <w:r w:rsidRPr="00AD5078">
              <w:rPr>
                <w:rFonts w:ascii="Aptos" w:eastAsia="Times New Roman" w:hAnsi="Aptos" w:cs="Times New Roman"/>
                <w:sz w:val="24"/>
                <w:szCs w:val="24"/>
                <w:lang w:val="es-ES_tradnl"/>
              </w:rPr>
              <w:t xml:space="preserve">“(...) se incentivarán y fortalecerán los planes, programas y </w:t>
            </w:r>
            <w:r w:rsidRPr="00AD5078">
              <w:rPr>
                <w:rFonts w:ascii="Aptos" w:eastAsia="Times New Roman" w:hAnsi="Aptos" w:cs="Times New Roman"/>
                <w:sz w:val="24"/>
                <w:szCs w:val="24"/>
                <w:lang w:val="es-ES_tradnl"/>
              </w:rPr>
              <w:lastRenderedPageBreak/>
              <w:t>proyectos que involucren tanto la manufactura de equipos, dispositivos y tecnología asociada al ecosistema del hidrógeno, como al desarrollo de proyectos de producción, captura de carbono, almacenamiento, transporte, usos, así como la exportación de hidrógeno presentados para financiación ante el Fondo de Energías No Convencionales y Gestión Eficiente de la Energía (FENOGE) (...)”</w:t>
            </w:r>
          </w:p>
        </w:tc>
      </w:tr>
      <w:tr w:rsidR="00B810CB" w:rsidRPr="00AD5078" w14:paraId="20741A7C" w14:textId="77777777" w:rsidTr="004C741C">
        <w:trPr>
          <w:trHeight w:val="303"/>
          <w:jc w:val="center"/>
        </w:trPr>
        <w:tc>
          <w:tcPr>
            <w:tcW w:w="1016" w:type="dxa"/>
          </w:tcPr>
          <w:p w14:paraId="3009FDFD" w14:textId="77777777" w:rsidR="00B810CB" w:rsidRPr="00AD5078" w:rsidRDefault="00B810CB" w:rsidP="004C741C">
            <w:pPr>
              <w:jc w:val="both"/>
              <w:rPr>
                <w:rFonts w:ascii="Aptos" w:eastAsia="Times New Roman" w:hAnsi="Aptos" w:cs="Times New Roman"/>
                <w:b/>
                <w:bCs/>
                <w:sz w:val="24"/>
                <w:szCs w:val="24"/>
                <w:lang w:val="es-ES_tradnl"/>
              </w:rPr>
            </w:pPr>
            <w:r w:rsidRPr="00AD5078">
              <w:rPr>
                <w:rFonts w:ascii="Aptos" w:eastAsia="Times New Roman" w:hAnsi="Aptos" w:cs="Times New Roman"/>
                <w:b/>
                <w:bCs/>
                <w:sz w:val="24"/>
                <w:szCs w:val="24"/>
                <w:lang w:val="es-ES_tradnl"/>
              </w:rPr>
              <w:lastRenderedPageBreak/>
              <w:t>14</w:t>
            </w:r>
          </w:p>
        </w:tc>
        <w:tc>
          <w:tcPr>
            <w:tcW w:w="7484" w:type="dxa"/>
          </w:tcPr>
          <w:p w14:paraId="0A619AB2" w14:textId="77777777" w:rsidR="00B810CB" w:rsidRPr="00AD5078" w:rsidRDefault="00B810CB" w:rsidP="004C741C">
            <w:pPr>
              <w:spacing w:after="0" w:line="240" w:lineRule="auto"/>
              <w:jc w:val="both"/>
              <w:rPr>
                <w:rFonts w:ascii="Aptos" w:eastAsia="Times New Roman" w:hAnsi="Aptos" w:cs="Times New Roman"/>
                <w:spacing w:val="-5"/>
                <w:sz w:val="24"/>
                <w:szCs w:val="24"/>
                <w:lang w:val="es-ES_tradnl"/>
              </w:rPr>
            </w:pPr>
            <w:r w:rsidRPr="00AD5078">
              <w:rPr>
                <w:rFonts w:ascii="Aptos" w:eastAsia="Times New Roman" w:hAnsi="Aptos" w:cs="Times New Roman"/>
                <w:b/>
                <w:bCs/>
                <w:sz w:val="24"/>
                <w:szCs w:val="24"/>
                <w:lang w:val="es-ES_tradnl"/>
              </w:rPr>
              <w:t xml:space="preserve">Incentivo a la infraestructura y tecnología. </w:t>
            </w:r>
            <w:r w:rsidRPr="00AD5078">
              <w:rPr>
                <w:rFonts w:ascii="Aptos" w:eastAsia="Times New Roman" w:hAnsi="Aptos" w:cs="Times New Roman"/>
                <w:sz w:val="24"/>
                <w:szCs w:val="24"/>
                <w:lang w:val="es-ES_tradnl"/>
              </w:rPr>
              <w:t>El Gobierno nacional a través del Ministerio de Minas y Energía y el Ministerio de Transporte, determinarán los incentivos para la construcción y reacondicionamiento de infraestructura con</w:t>
            </w:r>
            <w:r w:rsidRPr="00AD5078">
              <w:rPr>
                <w:rFonts w:ascii="Aptos" w:eastAsia="Times New Roman" w:hAnsi="Aptos" w:cs="Times New Roman"/>
                <w:spacing w:val="-4"/>
                <w:sz w:val="24"/>
                <w:szCs w:val="24"/>
                <w:lang w:val="es-ES_tradnl"/>
              </w:rPr>
              <w:t xml:space="preserve"> </w:t>
            </w:r>
            <w:r w:rsidRPr="00AD5078">
              <w:rPr>
                <w:rFonts w:ascii="Aptos" w:eastAsia="Times New Roman" w:hAnsi="Aptos" w:cs="Times New Roman"/>
                <w:sz w:val="24"/>
                <w:szCs w:val="24"/>
                <w:lang w:val="es-ES_tradnl"/>
              </w:rPr>
              <w:t>enfoque</w:t>
            </w:r>
            <w:r w:rsidRPr="00AD5078">
              <w:rPr>
                <w:rFonts w:ascii="Aptos" w:eastAsia="Times New Roman" w:hAnsi="Aptos" w:cs="Times New Roman"/>
                <w:spacing w:val="-4"/>
                <w:sz w:val="24"/>
                <w:szCs w:val="24"/>
                <w:lang w:val="es-ES_tradnl"/>
              </w:rPr>
              <w:t xml:space="preserve"> </w:t>
            </w:r>
            <w:r w:rsidRPr="00AD5078">
              <w:rPr>
                <w:rFonts w:ascii="Aptos" w:eastAsia="Times New Roman" w:hAnsi="Aptos" w:cs="Times New Roman"/>
                <w:sz w:val="24"/>
                <w:szCs w:val="24"/>
                <w:lang w:val="es-ES_tradnl"/>
              </w:rPr>
              <w:t>en</w:t>
            </w:r>
            <w:r w:rsidRPr="00AD5078">
              <w:rPr>
                <w:rFonts w:ascii="Aptos" w:eastAsia="Times New Roman" w:hAnsi="Aptos" w:cs="Times New Roman"/>
                <w:spacing w:val="-4"/>
                <w:sz w:val="24"/>
                <w:szCs w:val="24"/>
                <w:lang w:val="es-ES_tradnl"/>
              </w:rPr>
              <w:t xml:space="preserve"> </w:t>
            </w:r>
            <w:r w:rsidRPr="00AD5078">
              <w:rPr>
                <w:rFonts w:ascii="Aptos" w:eastAsia="Times New Roman" w:hAnsi="Aptos" w:cs="Times New Roman"/>
                <w:sz w:val="24"/>
                <w:szCs w:val="24"/>
                <w:lang w:val="es-ES_tradnl"/>
              </w:rPr>
              <w:t>el</w:t>
            </w:r>
            <w:r w:rsidRPr="00AD5078">
              <w:rPr>
                <w:rFonts w:ascii="Aptos" w:eastAsia="Times New Roman" w:hAnsi="Aptos" w:cs="Times New Roman"/>
                <w:spacing w:val="-4"/>
                <w:sz w:val="24"/>
                <w:szCs w:val="24"/>
                <w:lang w:val="es-ES_tradnl"/>
              </w:rPr>
              <w:t xml:space="preserve"> </w:t>
            </w:r>
            <w:r w:rsidRPr="00AD5078">
              <w:rPr>
                <w:rFonts w:ascii="Aptos" w:eastAsia="Times New Roman" w:hAnsi="Aptos" w:cs="Times New Roman"/>
                <w:sz w:val="24"/>
                <w:szCs w:val="24"/>
                <w:lang w:val="es-ES_tradnl"/>
              </w:rPr>
              <w:t>encadenamiento</w:t>
            </w:r>
            <w:r w:rsidRPr="00AD5078">
              <w:rPr>
                <w:rFonts w:ascii="Aptos" w:eastAsia="Times New Roman" w:hAnsi="Aptos" w:cs="Times New Roman"/>
                <w:spacing w:val="-4"/>
                <w:sz w:val="24"/>
                <w:szCs w:val="24"/>
                <w:lang w:val="es-ES_tradnl"/>
              </w:rPr>
              <w:t xml:space="preserve"> </w:t>
            </w:r>
            <w:r w:rsidRPr="00AD5078">
              <w:rPr>
                <w:rFonts w:ascii="Aptos" w:eastAsia="Times New Roman" w:hAnsi="Aptos" w:cs="Times New Roman"/>
                <w:sz w:val="24"/>
                <w:szCs w:val="24"/>
                <w:lang w:val="es-ES_tradnl"/>
              </w:rPr>
              <w:t>productivo</w:t>
            </w:r>
            <w:r w:rsidRPr="00AD5078">
              <w:rPr>
                <w:rFonts w:ascii="Aptos" w:eastAsia="Times New Roman" w:hAnsi="Aptos" w:cs="Times New Roman"/>
                <w:spacing w:val="-4"/>
                <w:sz w:val="24"/>
                <w:szCs w:val="24"/>
                <w:lang w:val="es-ES_tradnl"/>
              </w:rPr>
              <w:t xml:space="preserve"> </w:t>
            </w:r>
            <w:r w:rsidRPr="00AD5078">
              <w:rPr>
                <w:rFonts w:ascii="Aptos" w:eastAsia="Times New Roman" w:hAnsi="Aptos" w:cs="Times New Roman"/>
                <w:sz w:val="24"/>
                <w:szCs w:val="24"/>
                <w:lang w:val="es-ES_tradnl"/>
              </w:rPr>
              <w:t>del</w:t>
            </w:r>
            <w:r w:rsidRPr="00AD5078">
              <w:rPr>
                <w:rFonts w:ascii="Aptos" w:eastAsia="Times New Roman" w:hAnsi="Aptos" w:cs="Times New Roman"/>
                <w:spacing w:val="-4"/>
                <w:sz w:val="24"/>
                <w:szCs w:val="24"/>
                <w:lang w:val="es-ES_tradnl"/>
              </w:rPr>
              <w:t xml:space="preserve"> </w:t>
            </w:r>
            <w:r w:rsidRPr="00AD5078">
              <w:rPr>
                <w:rFonts w:ascii="Aptos" w:eastAsia="Times New Roman" w:hAnsi="Aptos" w:cs="Times New Roman"/>
                <w:sz w:val="24"/>
                <w:szCs w:val="24"/>
                <w:lang w:val="es-ES_tradnl"/>
              </w:rPr>
              <w:t>hidrógeno,</w:t>
            </w:r>
            <w:r w:rsidRPr="00AD5078">
              <w:rPr>
                <w:rFonts w:ascii="Aptos" w:eastAsia="Times New Roman" w:hAnsi="Aptos" w:cs="Times New Roman"/>
                <w:spacing w:val="-4"/>
                <w:sz w:val="24"/>
                <w:szCs w:val="24"/>
                <w:lang w:val="es-ES_tradnl"/>
              </w:rPr>
              <w:t xml:space="preserve"> </w:t>
            </w:r>
            <w:r w:rsidRPr="00AD5078">
              <w:rPr>
                <w:rFonts w:ascii="Aptos" w:eastAsia="Times New Roman" w:hAnsi="Aptos" w:cs="Times New Roman"/>
                <w:sz w:val="24"/>
                <w:szCs w:val="24"/>
                <w:lang w:val="es-ES_tradnl"/>
              </w:rPr>
              <w:t>en</w:t>
            </w:r>
            <w:r w:rsidRPr="00AD5078">
              <w:rPr>
                <w:rFonts w:ascii="Aptos" w:eastAsia="Times New Roman" w:hAnsi="Aptos" w:cs="Times New Roman"/>
                <w:spacing w:val="-4"/>
                <w:sz w:val="24"/>
                <w:szCs w:val="24"/>
                <w:lang w:val="es-ES_tradnl"/>
              </w:rPr>
              <w:t xml:space="preserve"> </w:t>
            </w:r>
            <w:r w:rsidRPr="00AD5078">
              <w:rPr>
                <w:rFonts w:ascii="Aptos" w:eastAsia="Times New Roman" w:hAnsi="Aptos" w:cs="Times New Roman"/>
                <w:sz w:val="24"/>
                <w:szCs w:val="24"/>
                <w:lang w:val="es-ES_tradnl"/>
              </w:rPr>
              <w:t>los procesos de producción, almacenamiento, transporte, comercialización, distribución, y exportación, propendiendo por el desarrollo de toda la cadena productiva del hidrógeno en el país. De igual forma, en conjunto con el Ministerio de Comercio, Industria y Turismo, en cumplimiento con el objeto de la presente</w:t>
            </w:r>
            <w:r w:rsidRPr="00AD5078">
              <w:rPr>
                <w:rFonts w:ascii="Aptos" w:eastAsia="Times New Roman" w:hAnsi="Aptos" w:cs="Times New Roman"/>
                <w:spacing w:val="40"/>
                <w:sz w:val="24"/>
                <w:szCs w:val="24"/>
                <w:lang w:val="es-ES_tradnl"/>
              </w:rPr>
              <w:t xml:space="preserve"> </w:t>
            </w:r>
            <w:r w:rsidRPr="00AD5078">
              <w:rPr>
                <w:rFonts w:ascii="Aptos" w:eastAsia="Times New Roman" w:hAnsi="Aptos" w:cs="Times New Roman"/>
                <w:sz w:val="24"/>
                <w:szCs w:val="24"/>
                <w:lang w:val="es-ES_tradnl"/>
              </w:rPr>
              <w:t>ley, establecerán las</w:t>
            </w:r>
            <w:r w:rsidRPr="00AD5078">
              <w:rPr>
                <w:rFonts w:ascii="Aptos" w:eastAsia="Times New Roman" w:hAnsi="Aptos" w:cs="Times New Roman"/>
                <w:spacing w:val="-5"/>
                <w:sz w:val="24"/>
                <w:szCs w:val="24"/>
                <w:lang w:val="es-ES_tradnl"/>
              </w:rPr>
              <w:t xml:space="preserve"> </w:t>
            </w:r>
            <w:r w:rsidRPr="00AD5078">
              <w:rPr>
                <w:rFonts w:ascii="Aptos" w:eastAsia="Times New Roman" w:hAnsi="Aptos" w:cs="Times New Roman"/>
                <w:sz w:val="24"/>
                <w:szCs w:val="24"/>
                <w:lang w:val="es-ES_tradnl"/>
              </w:rPr>
              <w:t>partidas</w:t>
            </w:r>
            <w:r w:rsidRPr="00AD5078">
              <w:rPr>
                <w:rFonts w:ascii="Aptos" w:eastAsia="Times New Roman" w:hAnsi="Aptos" w:cs="Times New Roman"/>
                <w:spacing w:val="-5"/>
                <w:sz w:val="24"/>
                <w:szCs w:val="24"/>
                <w:lang w:val="es-ES_tradnl"/>
              </w:rPr>
              <w:t xml:space="preserve"> </w:t>
            </w:r>
            <w:r w:rsidRPr="00AD5078">
              <w:rPr>
                <w:rFonts w:ascii="Aptos" w:eastAsia="Times New Roman" w:hAnsi="Aptos" w:cs="Times New Roman"/>
                <w:sz w:val="24"/>
                <w:szCs w:val="24"/>
                <w:lang w:val="es-ES_tradnl"/>
              </w:rPr>
              <w:t>arancelarias</w:t>
            </w:r>
            <w:r w:rsidRPr="00AD5078">
              <w:rPr>
                <w:rFonts w:ascii="Aptos" w:eastAsia="Times New Roman" w:hAnsi="Aptos" w:cs="Times New Roman"/>
                <w:spacing w:val="-5"/>
                <w:sz w:val="24"/>
                <w:szCs w:val="24"/>
                <w:lang w:val="es-ES_tradnl"/>
              </w:rPr>
              <w:t xml:space="preserve"> </w:t>
            </w:r>
            <w:r w:rsidRPr="00AD5078">
              <w:rPr>
                <w:rFonts w:ascii="Aptos" w:eastAsia="Times New Roman" w:hAnsi="Aptos" w:cs="Times New Roman"/>
                <w:sz w:val="24"/>
                <w:szCs w:val="24"/>
                <w:lang w:val="es-ES_tradnl"/>
              </w:rPr>
              <w:t>que</w:t>
            </w:r>
            <w:r w:rsidRPr="00AD5078">
              <w:rPr>
                <w:rFonts w:ascii="Aptos" w:eastAsia="Times New Roman" w:hAnsi="Aptos" w:cs="Times New Roman"/>
                <w:spacing w:val="-5"/>
                <w:sz w:val="24"/>
                <w:szCs w:val="24"/>
                <w:lang w:val="es-ES_tradnl"/>
              </w:rPr>
              <w:t xml:space="preserve"> </w:t>
            </w:r>
            <w:r w:rsidRPr="00AD5078">
              <w:rPr>
                <w:rFonts w:ascii="Aptos" w:eastAsia="Times New Roman" w:hAnsi="Aptos" w:cs="Times New Roman"/>
                <w:sz w:val="24"/>
                <w:szCs w:val="24"/>
                <w:lang w:val="es-ES_tradnl"/>
              </w:rPr>
              <w:t>deberán</w:t>
            </w:r>
            <w:r w:rsidRPr="00AD5078">
              <w:rPr>
                <w:rFonts w:ascii="Aptos" w:eastAsia="Times New Roman" w:hAnsi="Aptos" w:cs="Times New Roman"/>
                <w:spacing w:val="-5"/>
                <w:sz w:val="24"/>
                <w:szCs w:val="24"/>
                <w:lang w:val="es-ES_tradnl"/>
              </w:rPr>
              <w:t xml:space="preserve"> </w:t>
            </w:r>
            <w:r w:rsidRPr="00AD5078">
              <w:rPr>
                <w:rFonts w:ascii="Aptos" w:eastAsia="Times New Roman" w:hAnsi="Aptos" w:cs="Times New Roman"/>
                <w:sz w:val="24"/>
                <w:szCs w:val="24"/>
                <w:lang w:val="es-ES_tradnl"/>
              </w:rPr>
              <w:t>incluirse</w:t>
            </w:r>
            <w:r w:rsidRPr="00AD5078">
              <w:rPr>
                <w:rFonts w:ascii="Aptos" w:eastAsia="Times New Roman" w:hAnsi="Aptos" w:cs="Times New Roman"/>
                <w:spacing w:val="-5"/>
                <w:sz w:val="24"/>
                <w:szCs w:val="24"/>
                <w:lang w:val="es-ES_tradnl"/>
              </w:rPr>
              <w:t xml:space="preserve"> </w:t>
            </w:r>
            <w:r w:rsidRPr="00AD5078">
              <w:rPr>
                <w:rFonts w:ascii="Aptos" w:eastAsia="Times New Roman" w:hAnsi="Aptos" w:cs="Times New Roman"/>
                <w:sz w:val="24"/>
                <w:szCs w:val="24"/>
                <w:lang w:val="es-ES_tradnl"/>
              </w:rPr>
              <w:t>como</w:t>
            </w:r>
            <w:r w:rsidRPr="00AD5078">
              <w:rPr>
                <w:rFonts w:ascii="Aptos" w:eastAsia="Times New Roman" w:hAnsi="Aptos" w:cs="Times New Roman"/>
                <w:spacing w:val="-5"/>
                <w:sz w:val="24"/>
                <w:szCs w:val="24"/>
                <w:lang w:val="es-ES_tradnl"/>
              </w:rPr>
              <w:t xml:space="preserve"> </w:t>
            </w:r>
            <w:r w:rsidRPr="00AD5078">
              <w:rPr>
                <w:rFonts w:ascii="Aptos" w:eastAsia="Times New Roman" w:hAnsi="Aptos" w:cs="Times New Roman"/>
                <w:sz w:val="24"/>
                <w:szCs w:val="24"/>
                <w:lang w:val="es-ES_tradnl"/>
              </w:rPr>
              <w:t>parte</w:t>
            </w:r>
            <w:r w:rsidRPr="00AD5078">
              <w:rPr>
                <w:rFonts w:ascii="Aptos" w:eastAsia="Times New Roman" w:hAnsi="Aptos" w:cs="Times New Roman"/>
                <w:spacing w:val="-5"/>
                <w:sz w:val="24"/>
                <w:szCs w:val="24"/>
                <w:lang w:val="es-ES_tradnl"/>
              </w:rPr>
              <w:t xml:space="preserve"> </w:t>
            </w:r>
            <w:r w:rsidRPr="00AD5078">
              <w:rPr>
                <w:rFonts w:ascii="Aptos" w:eastAsia="Times New Roman" w:hAnsi="Aptos" w:cs="Times New Roman"/>
                <w:sz w:val="24"/>
                <w:szCs w:val="24"/>
                <w:lang w:val="es-ES_tradnl"/>
              </w:rPr>
              <w:t>de</w:t>
            </w:r>
            <w:r w:rsidRPr="00AD5078">
              <w:rPr>
                <w:rFonts w:ascii="Aptos" w:eastAsia="Times New Roman" w:hAnsi="Aptos" w:cs="Times New Roman"/>
                <w:spacing w:val="-5"/>
                <w:sz w:val="24"/>
                <w:szCs w:val="24"/>
                <w:lang w:val="es-ES_tradnl"/>
              </w:rPr>
              <w:t xml:space="preserve"> </w:t>
            </w:r>
            <w:r w:rsidRPr="00AD5078">
              <w:rPr>
                <w:rFonts w:ascii="Aptos" w:eastAsia="Times New Roman" w:hAnsi="Aptos" w:cs="Times New Roman"/>
                <w:sz w:val="24"/>
                <w:szCs w:val="24"/>
                <w:lang w:val="es-ES_tradnl"/>
              </w:rPr>
              <w:t>las exenciones y reducciones arancelarias, promoviendo la importación de equipos, dispositivos</w:t>
            </w:r>
            <w:r w:rsidRPr="00AD5078">
              <w:rPr>
                <w:rFonts w:ascii="Aptos" w:eastAsia="Times New Roman" w:hAnsi="Aptos" w:cs="Times New Roman"/>
                <w:spacing w:val="30"/>
                <w:sz w:val="24"/>
                <w:szCs w:val="24"/>
                <w:lang w:val="es-ES_tradnl"/>
              </w:rPr>
              <w:t xml:space="preserve"> </w:t>
            </w:r>
            <w:r w:rsidRPr="00AD5078">
              <w:rPr>
                <w:rFonts w:ascii="Aptos" w:eastAsia="Times New Roman" w:hAnsi="Aptos" w:cs="Times New Roman"/>
                <w:sz w:val="24"/>
                <w:szCs w:val="24"/>
                <w:lang w:val="es-ES_tradnl"/>
              </w:rPr>
              <w:t>y</w:t>
            </w:r>
            <w:r w:rsidRPr="00AD5078">
              <w:rPr>
                <w:rFonts w:ascii="Aptos" w:eastAsia="Times New Roman" w:hAnsi="Aptos" w:cs="Times New Roman"/>
                <w:spacing w:val="30"/>
                <w:sz w:val="24"/>
                <w:szCs w:val="24"/>
                <w:lang w:val="es-ES_tradnl"/>
              </w:rPr>
              <w:t xml:space="preserve"> </w:t>
            </w:r>
            <w:r w:rsidRPr="00AD5078">
              <w:rPr>
                <w:rFonts w:ascii="Aptos" w:eastAsia="Times New Roman" w:hAnsi="Aptos" w:cs="Times New Roman"/>
                <w:sz w:val="24"/>
                <w:szCs w:val="24"/>
                <w:lang w:val="es-ES_tradnl"/>
              </w:rPr>
              <w:t>unidades</w:t>
            </w:r>
            <w:r w:rsidRPr="00AD5078">
              <w:rPr>
                <w:rFonts w:ascii="Aptos" w:eastAsia="Times New Roman" w:hAnsi="Aptos" w:cs="Times New Roman"/>
                <w:spacing w:val="30"/>
                <w:sz w:val="24"/>
                <w:szCs w:val="24"/>
                <w:lang w:val="es-ES_tradnl"/>
              </w:rPr>
              <w:t xml:space="preserve"> </w:t>
            </w:r>
            <w:r w:rsidRPr="00AD5078">
              <w:rPr>
                <w:rFonts w:ascii="Aptos" w:eastAsia="Times New Roman" w:hAnsi="Aptos" w:cs="Times New Roman"/>
                <w:sz w:val="24"/>
                <w:szCs w:val="24"/>
                <w:lang w:val="es-ES_tradnl"/>
              </w:rPr>
              <w:t>funcionales</w:t>
            </w:r>
            <w:r w:rsidRPr="00AD5078">
              <w:rPr>
                <w:rFonts w:ascii="Aptos" w:eastAsia="Times New Roman" w:hAnsi="Aptos" w:cs="Times New Roman"/>
                <w:spacing w:val="30"/>
                <w:sz w:val="24"/>
                <w:szCs w:val="24"/>
                <w:lang w:val="es-ES_tradnl"/>
              </w:rPr>
              <w:t xml:space="preserve"> </w:t>
            </w:r>
            <w:r w:rsidRPr="00AD5078">
              <w:rPr>
                <w:rFonts w:ascii="Aptos" w:eastAsia="Times New Roman" w:hAnsi="Aptos" w:cs="Times New Roman"/>
                <w:sz w:val="24"/>
                <w:szCs w:val="24"/>
                <w:lang w:val="es-ES_tradnl"/>
              </w:rPr>
              <w:t>en</w:t>
            </w:r>
            <w:r w:rsidRPr="00AD5078">
              <w:rPr>
                <w:rFonts w:ascii="Aptos" w:eastAsia="Times New Roman" w:hAnsi="Aptos" w:cs="Times New Roman"/>
                <w:spacing w:val="30"/>
                <w:sz w:val="24"/>
                <w:szCs w:val="24"/>
                <w:lang w:val="es-ES_tradnl"/>
              </w:rPr>
              <w:t xml:space="preserve"> </w:t>
            </w:r>
            <w:r w:rsidRPr="00AD5078">
              <w:rPr>
                <w:rFonts w:ascii="Aptos" w:eastAsia="Times New Roman" w:hAnsi="Aptos" w:cs="Times New Roman"/>
                <w:sz w:val="24"/>
                <w:szCs w:val="24"/>
                <w:lang w:val="es-ES_tradnl"/>
              </w:rPr>
              <w:t>la</w:t>
            </w:r>
            <w:r w:rsidRPr="00AD5078">
              <w:rPr>
                <w:rFonts w:ascii="Aptos" w:eastAsia="Times New Roman" w:hAnsi="Aptos" w:cs="Times New Roman"/>
                <w:spacing w:val="30"/>
                <w:sz w:val="24"/>
                <w:szCs w:val="24"/>
                <w:lang w:val="es-ES_tradnl"/>
              </w:rPr>
              <w:t xml:space="preserve"> </w:t>
            </w:r>
            <w:r w:rsidRPr="00AD5078">
              <w:rPr>
                <w:rFonts w:ascii="Aptos" w:eastAsia="Times New Roman" w:hAnsi="Aptos" w:cs="Times New Roman"/>
                <w:sz w:val="24"/>
                <w:szCs w:val="24"/>
                <w:lang w:val="es-ES_tradnl"/>
              </w:rPr>
              <w:t>cadena</w:t>
            </w:r>
            <w:r w:rsidRPr="00AD5078">
              <w:rPr>
                <w:rFonts w:ascii="Aptos" w:eastAsia="Times New Roman" w:hAnsi="Aptos" w:cs="Times New Roman"/>
                <w:spacing w:val="30"/>
                <w:sz w:val="24"/>
                <w:szCs w:val="24"/>
                <w:lang w:val="es-ES_tradnl"/>
              </w:rPr>
              <w:t xml:space="preserve"> </w:t>
            </w:r>
            <w:r w:rsidRPr="00AD5078">
              <w:rPr>
                <w:rFonts w:ascii="Aptos" w:eastAsia="Times New Roman" w:hAnsi="Aptos" w:cs="Times New Roman"/>
                <w:sz w:val="24"/>
                <w:szCs w:val="24"/>
                <w:lang w:val="es-ES_tradnl"/>
              </w:rPr>
              <w:t>productiva</w:t>
            </w:r>
            <w:r w:rsidRPr="00AD5078">
              <w:rPr>
                <w:rFonts w:ascii="Aptos" w:eastAsia="Times New Roman" w:hAnsi="Aptos" w:cs="Times New Roman"/>
                <w:spacing w:val="30"/>
                <w:sz w:val="24"/>
                <w:szCs w:val="24"/>
                <w:lang w:val="es-ES_tradnl"/>
              </w:rPr>
              <w:t xml:space="preserve"> </w:t>
            </w:r>
            <w:r w:rsidRPr="00AD5078">
              <w:rPr>
                <w:rFonts w:ascii="Aptos" w:eastAsia="Times New Roman" w:hAnsi="Aptos" w:cs="Times New Roman"/>
                <w:sz w:val="24"/>
                <w:szCs w:val="24"/>
                <w:lang w:val="es-ES_tradnl"/>
              </w:rPr>
              <w:t>del</w:t>
            </w:r>
            <w:r w:rsidRPr="00AD5078">
              <w:rPr>
                <w:rFonts w:ascii="Aptos" w:eastAsia="Times New Roman" w:hAnsi="Aptos" w:cs="Times New Roman"/>
                <w:spacing w:val="30"/>
                <w:sz w:val="24"/>
                <w:szCs w:val="24"/>
                <w:lang w:val="es-ES_tradnl"/>
              </w:rPr>
              <w:t xml:space="preserve"> </w:t>
            </w:r>
            <w:r w:rsidRPr="00AD5078">
              <w:rPr>
                <w:rFonts w:ascii="Aptos" w:eastAsia="Times New Roman" w:hAnsi="Aptos" w:cs="Times New Roman"/>
                <w:sz w:val="24"/>
                <w:szCs w:val="24"/>
                <w:lang w:val="es-ES_tradnl"/>
              </w:rPr>
              <w:t>hidrógeno</w:t>
            </w:r>
            <w:r w:rsidRPr="00AD5078">
              <w:rPr>
                <w:rFonts w:ascii="Aptos" w:eastAsia="Times New Roman" w:hAnsi="Aptos" w:cs="Times New Roman"/>
                <w:spacing w:val="30"/>
                <w:sz w:val="24"/>
                <w:szCs w:val="24"/>
                <w:lang w:val="es-ES_tradnl"/>
              </w:rPr>
              <w:t xml:space="preserve"> </w:t>
            </w:r>
            <w:r w:rsidRPr="00AD5078">
              <w:rPr>
                <w:rFonts w:ascii="Aptos" w:eastAsia="Times New Roman" w:hAnsi="Aptos" w:cs="Times New Roman"/>
                <w:sz w:val="24"/>
                <w:szCs w:val="24"/>
                <w:lang w:val="es-ES_tradnl"/>
              </w:rPr>
              <w:t>y</w:t>
            </w:r>
            <w:r w:rsidRPr="00AD5078">
              <w:rPr>
                <w:rFonts w:ascii="Aptos" w:eastAsia="Times New Roman" w:hAnsi="Aptos" w:cs="Times New Roman"/>
                <w:spacing w:val="15"/>
                <w:sz w:val="24"/>
                <w:szCs w:val="24"/>
                <w:lang w:val="es-ES_tradnl"/>
              </w:rPr>
              <w:t xml:space="preserve"> </w:t>
            </w:r>
            <w:r w:rsidRPr="00AD5078">
              <w:rPr>
                <w:rFonts w:ascii="Aptos" w:eastAsia="Times New Roman" w:hAnsi="Aptos" w:cs="Times New Roman"/>
                <w:spacing w:val="-5"/>
                <w:sz w:val="24"/>
                <w:szCs w:val="24"/>
                <w:lang w:val="es-ES_tradnl"/>
              </w:rPr>
              <w:t>sus derivados, incluyendo tecnología de uso/consumo, para artículos que no sean de producción nacional.</w:t>
            </w:r>
          </w:p>
          <w:p w14:paraId="5D785297" w14:textId="77777777" w:rsidR="00B810CB" w:rsidRPr="00AD5078" w:rsidRDefault="00B810CB" w:rsidP="004C741C">
            <w:pPr>
              <w:jc w:val="both"/>
              <w:rPr>
                <w:rFonts w:ascii="Aptos" w:eastAsia="Times New Roman" w:hAnsi="Aptos" w:cs="Times New Roman"/>
                <w:sz w:val="24"/>
                <w:szCs w:val="24"/>
                <w:lang w:val="es-ES_tradnl"/>
              </w:rPr>
            </w:pPr>
          </w:p>
        </w:tc>
        <w:tc>
          <w:tcPr>
            <w:tcW w:w="3402" w:type="dxa"/>
          </w:tcPr>
          <w:p w14:paraId="6C053FF9" w14:textId="77777777" w:rsidR="00B810CB" w:rsidRPr="00AD5078" w:rsidRDefault="00B810CB" w:rsidP="004C741C">
            <w:pPr>
              <w:jc w:val="both"/>
              <w:rPr>
                <w:rFonts w:ascii="Aptos" w:eastAsia="Times New Roman" w:hAnsi="Aptos" w:cs="Times New Roman"/>
                <w:sz w:val="24"/>
                <w:szCs w:val="24"/>
                <w:lang w:val="es-ES_tradnl"/>
              </w:rPr>
            </w:pPr>
            <w:r w:rsidRPr="00AD5078">
              <w:rPr>
                <w:rFonts w:ascii="Aptos" w:eastAsia="Times New Roman" w:hAnsi="Aptos" w:cs="Times New Roman"/>
                <w:sz w:val="24"/>
                <w:szCs w:val="24"/>
                <w:lang w:val="es-ES_tradnl"/>
              </w:rPr>
              <w:t>Sin modificaciones</w:t>
            </w:r>
          </w:p>
        </w:tc>
      </w:tr>
      <w:tr w:rsidR="00B810CB" w:rsidRPr="00AD5078" w14:paraId="256B77B9" w14:textId="77777777" w:rsidTr="004C741C">
        <w:trPr>
          <w:trHeight w:val="303"/>
          <w:jc w:val="center"/>
        </w:trPr>
        <w:tc>
          <w:tcPr>
            <w:tcW w:w="1016" w:type="dxa"/>
          </w:tcPr>
          <w:p w14:paraId="2128D799" w14:textId="77777777" w:rsidR="00B810CB" w:rsidRPr="00AD5078" w:rsidRDefault="00B810CB" w:rsidP="004C741C">
            <w:pPr>
              <w:jc w:val="both"/>
              <w:rPr>
                <w:rFonts w:ascii="Aptos" w:eastAsia="Times New Roman" w:hAnsi="Aptos" w:cs="Times New Roman"/>
                <w:b/>
                <w:bCs/>
                <w:sz w:val="24"/>
                <w:szCs w:val="24"/>
                <w:lang w:val="es-ES_tradnl"/>
              </w:rPr>
            </w:pPr>
            <w:r w:rsidRPr="00AD5078">
              <w:rPr>
                <w:rFonts w:ascii="Aptos" w:eastAsia="Times New Roman" w:hAnsi="Aptos" w:cs="Times New Roman"/>
                <w:b/>
                <w:bCs/>
                <w:sz w:val="24"/>
                <w:szCs w:val="24"/>
                <w:lang w:val="es-ES_tradnl"/>
              </w:rPr>
              <w:t>15</w:t>
            </w:r>
          </w:p>
        </w:tc>
        <w:tc>
          <w:tcPr>
            <w:tcW w:w="7484" w:type="dxa"/>
          </w:tcPr>
          <w:p w14:paraId="36E3C62D" w14:textId="77777777" w:rsidR="00B810CB" w:rsidRPr="00AD5078" w:rsidRDefault="00B810CB" w:rsidP="004C741C">
            <w:pPr>
              <w:spacing w:after="0" w:line="240" w:lineRule="auto"/>
              <w:jc w:val="both"/>
              <w:rPr>
                <w:rFonts w:ascii="Aptos" w:eastAsia="Times New Roman" w:hAnsi="Aptos" w:cs="Times New Roman"/>
                <w:sz w:val="24"/>
                <w:szCs w:val="24"/>
                <w:lang w:val="es-ES_tradnl"/>
              </w:rPr>
            </w:pPr>
            <w:r w:rsidRPr="00AD5078">
              <w:rPr>
                <w:rFonts w:ascii="Aptos" w:eastAsia="Times New Roman" w:hAnsi="Aptos" w:cs="Times New Roman"/>
                <w:b/>
                <w:bCs/>
                <w:sz w:val="24"/>
                <w:szCs w:val="24"/>
                <w:lang w:val="es-ES_tradnl"/>
              </w:rPr>
              <w:t xml:space="preserve">Programa de movilidad y carbono neutro. </w:t>
            </w:r>
            <w:r w:rsidRPr="00AD5078">
              <w:rPr>
                <w:rFonts w:ascii="Aptos" w:eastAsia="Times New Roman" w:hAnsi="Aptos" w:cs="Times New Roman"/>
                <w:sz w:val="24"/>
                <w:szCs w:val="24"/>
                <w:lang w:val="es-ES_tradnl"/>
              </w:rPr>
              <w:t>El Gobierno nacional a través del Ministerio de Ambiente y Desarrollo Sostenible, el Ministerio de Transporte, el Ministerio de Minas y Energía y el Ministerio de Hacienda y Crédito Público, harán estudios técnicos pertinentes para evaluar la inclusión del hidrógeno y los vehículos dedicados, híbridos/dializados con hidrógeno, en los programas establecidos de transición energética en movilidad sostenible para el transporte público, transporte minero-</w:t>
            </w:r>
            <w:r w:rsidRPr="00AD5078">
              <w:rPr>
                <w:rFonts w:ascii="Aptos" w:eastAsia="Times New Roman" w:hAnsi="Aptos" w:cs="Times New Roman"/>
                <w:sz w:val="24"/>
                <w:szCs w:val="24"/>
                <w:lang w:val="es-ES_tradnl"/>
              </w:rPr>
              <w:lastRenderedPageBreak/>
              <w:t>industrial, transporte comercial y de pasajeros. En un plazo de doce (12) meses después de la expedición de la presente ley, se examinarán casos donde el uso y aplicación de vehículos dedicados, híbridos/dializados con hidrógeno generan mayores beneficios en términos de costo total de propiedad (TCO) y costos de abatimiento, frente a los vehículos de batería eléctrica y de combustión interna. De igual forma se incorporará el hidrógeno en las disposiciones establecidas en los artículos 14, 15 y 16 de la Ley 2128 de 2021.</w:t>
            </w:r>
          </w:p>
          <w:p w14:paraId="5B366BA9" w14:textId="77777777" w:rsidR="00B810CB" w:rsidRPr="00AD5078" w:rsidRDefault="00B810CB" w:rsidP="004C741C">
            <w:pPr>
              <w:spacing w:after="0" w:line="240" w:lineRule="auto"/>
              <w:jc w:val="both"/>
              <w:rPr>
                <w:rFonts w:ascii="Aptos" w:eastAsia="Times New Roman" w:hAnsi="Aptos" w:cs="Times New Roman"/>
                <w:sz w:val="24"/>
                <w:szCs w:val="24"/>
                <w:lang w:val="es-ES_tradnl"/>
              </w:rPr>
            </w:pPr>
            <w:r w:rsidRPr="00AD5078">
              <w:rPr>
                <w:rFonts w:ascii="Aptos" w:eastAsia="Times New Roman" w:hAnsi="Aptos" w:cs="Times New Roman"/>
                <w:b/>
                <w:bCs/>
                <w:sz w:val="24"/>
                <w:szCs w:val="24"/>
                <w:lang w:val="es-ES_tradnl"/>
              </w:rPr>
              <w:t xml:space="preserve">Parágrafo. </w:t>
            </w:r>
            <w:r w:rsidRPr="00AD5078">
              <w:rPr>
                <w:rFonts w:ascii="Aptos" w:eastAsia="Times New Roman" w:hAnsi="Aptos" w:cs="Times New Roman"/>
                <w:sz w:val="24"/>
                <w:szCs w:val="24"/>
                <w:lang w:val="es-ES_tradnl"/>
              </w:rPr>
              <w:t>La información sobre infraestructura, Agentes de la Cadena de Hidrógeno y vehículos de hidrógeno será incorporada al Sistema Único de Información para el Desarrollo, gestión y Promoción el Hidrógeno (ECOH2), conforme a lo establecido en el Decreto 1597 de 2024. Los agentes deberán mantener actualizada su información en el sistema según los lineamientos que establezca el Ministerio de Minas y Energía para tal fin.</w:t>
            </w:r>
          </w:p>
          <w:p w14:paraId="51CD1EE4" w14:textId="77777777" w:rsidR="00B810CB" w:rsidRPr="00AD5078" w:rsidRDefault="00B810CB" w:rsidP="004C741C">
            <w:pPr>
              <w:jc w:val="both"/>
              <w:rPr>
                <w:rFonts w:ascii="Aptos" w:eastAsia="Times New Roman" w:hAnsi="Aptos" w:cs="Times New Roman"/>
                <w:sz w:val="24"/>
                <w:szCs w:val="24"/>
                <w:lang w:val="es-ES_tradnl"/>
              </w:rPr>
            </w:pPr>
            <w:r w:rsidRPr="00AD5078">
              <w:rPr>
                <w:rFonts w:ascii="Aptos" w:eastAsia="Times New Roman" w:hAnsi="Aptos" w:cs="Times New Roman"/>
                <w:sz w:val="24"/>
                <w:szCs w:val="24"/>
                <w:lang w:val="es-ES_tradnl"/>
              </w:rPr>
              <w:t>En ese sentido, los Agentes de la Cadena de Valor del Hidrógeno, independientemente de la taxonomía del hidrógeno que produzcan, transporten, almacenen, distribuyan o comercialicen, deberán registrarse en el ECOH2 como requisito previo para iniciar operaciones. El Ministerio de Minas y Energía determinará los procedimientos, términos y condiciones para el registro y reporte de información en el sistema.</w:t>
            </w:r>
          </w:p>
        </w:tc>
        <w:tc>
          <w:tcPr>
            <w:tcW w:w="3402" w:type="dxa"/>
          </w:tcPr>
          <w:p w14:paraId="4526EB44" w14:textId="77777777" w:rsidR="00B810CB" w:rsidRPr="00AD5078" w:rsidRDefault="00B810CB" w:rsidP="004C741C">
            <w:pPr>
              <w:spacing w:after="0"/>
              <w:jc w:val="both"/>
              <w:rPr>
                <w:rFonts w:ascii="Aptos" w:eastAsia="Times New Roman" w:hAnsi="Aptos" w:cs="Times New Roman"/>
                <w:sz w:val="24"/>
                <w:szCs w:val="24"/>
                <w:lang w:val="es-ES_tradnl"/>
              </w:rPr>
            </w:pPr>
            <w:r w:rsidRPr="00AD5078">
              <w:rPr>
                <w:rFonts w:ascii="Aptos" w:eastAsia="Times New Roman" w:hAnsi="Aptos" w:cs="Times New Roman"/>
                <w:sz w:val="24"/>
                <w:szCs w:val="24"/>
                <w:lang w:val="es-ES_tradnl"/>
              </w:rPr>
              <w:lastRenderedPageBreak/>
              <w:t xml:space="preserve">Para el artículo 15 se recomienda revisar redacción del artículo, en particular a lo relacionado con la palabra dializado, clarificando si se refiere a dualizado, teniendo en </w:t>
            </w:r>
            <w:r w:rsidRPr="00AD5078">
              <w:rPr>
                <w:rFonts w:ascii="Aptos" w:eastAsia="Times New Roman" w:hAnsi="Aptos" w:cs="Times New Roman"/>
                <w:sz w:val="24"/>
                <w:szCs w:val="24"/>
                <w:lang w:val="es-ES_tradnl"/>
              </w:rPr>
              <w:lastRenderedPageBreak/>
              <w:t>cuenta que su redacción actual presenta error ortográfico, así:</w:t>
            </w:r>
          </w:p>
          <w:p w14:paraId="011C72C3" w14:textId="77777777" w:rsidR="00B810CB" w:rsidRPr="00AD5078" w:rsidRDefault="00B810CB" w:rsidP="004C741C">
            <w:pPr>
              <w:spacing w:after="0"/>
              <w:jc w:val="both"/>
              <w:rPr>
                <w:rFonts w:ascii="Aptos" w:eastAsia="Times New Roman" w:hAnsi="Aptos" w:cs="Times New Roman"/>
                <w:sz w:val="24"/>
                <w:szCs w:val="24"/>
                <w:lang w:val="es-ES_tradnl"/>
              </w:rPr>
            </w:pPr>
            <w:r w:rsidRPr="00AD5078">
              <w:rPr>
                <w:rFonts w:ascii="Aptos" w:eastAsia="Times New Roman" w:hAnsi="Aptos" w:cs="Times New Roman"/>
                <w:sz w:val="24"/>
                <w:szCs w:val="24"/>
                <w:lang w:val="es-ES_tradnl"/>
              </w:rPr>
              <w:t>“(...) harán estudios técnicos pertinentes para evaluar la inclusión del hidrógeno y los vehículos dedicados, híbridos/</w:t>
            </w:r>
            <w:proofErr w:type="spellStart"/>
            <w:r w:rsidRPr="00AD5078">
              <w:rPr>
                <w:rFonts w:ascii="Aptos" w:eastAsia="Times New Roman" w:hAnsi="Aptos" w:cs="Times New Roman"/>
                <w:b/>
                <w:bCs/>
                <w:sz w:val="24"/>
                <w:szCs w:val="24"/>
                <w:u w:val="single"/>
                <w:lang w:val="es-ES_tradnl"/>
              </w:rPr>
              <w:t>dualizados</w:t>
            </w:r>
            <w:proofErr w:type="spellEnd"/>
            <w:r w:rsidRPr="00AD5078">
              <w:rPr>
                <w:rFonts w:ascii="Aptos" w:eastAsia="Times New Roman" w:hAnsi="Aptos" w:cs="Times New Roman"/>
                <w:sz w:val="24"/>
                <w:szCs w:val="24"/>
                <w:lang w:val="es-ES_tradnl"/>
              </w:rPr>
              <w:t xml:space="preserve"> con hidrógeno, en los programas establecidos de transición energética en movilidad sostenible para el transporte público, transporte minero-industrial, transporte comercial y de pasajeros (...)”.  </w:t>
            </w:r>
          </w:p>
          <w:p w14:paraId="3B6B5B43" w14:textId="77777777" w:rsidR="00B810CB" w:rsidRPr="00AD5078" w:rsidRDefault="00B810CB" w:rsidP="004C741C">
            <w:pPr>
              <w:spacing w:after="0"/>
              <w:jc w:val="both"/>
              <w:rPr>
                <w:rFonts w:ascii="Aptos" w:eastAsia="Times New Roman" w:hAnsi="Aptos" w:cs="Times New Roman"/>
                <w:sz w:val="24"/>
                <w:szCs w:val="24"/>
                <w:lang w:val="es-ES_tradnl"/>
              </w:rPr>
            </w:pPr>
            <w:r w:rsidRPr="00AD5078">
              <w:rPr>
                <w:rFonts w:ascii="Aptos" w:eastAsia="Times New Roman" w:hAnsi="Aptos" w:cs="Times New Roman"/>
                <w:sz w:val="24"/>
                <w:szCs w:val="24"/>
                <w:lang w:val="es-ES_tradnl"/>
              </w:rPr>
              <w:t>“(...) harán estudios técnicos pertinentes para evaluar la inclusión del hidrógeno y los vehículos dedicados, híbridos/</w:t>
            </w:r>
            <w:proofErr w:type="spellStart"/>
            <w:r w:rsidRPr="00AD5078">
              <w:rPr>
                <w:rFonts w:ascii="Aptos" w:eastAsia="Times New Roman" w:hAnsi="Aptos" w:cs="Times New Roman"/>
                <w:b/>
                <w:bCs/>
                <w:sz w:val="24"/>
                <w:szCs w:val="24"/>
                <w:u w:val="single"/>
                <w:lang w:val="es-ES_tradnl"/>
              </w:rPr>
              <w:t>dualizados</w:t>
            </w:r>
            <w:proofErr w:type="spellEnd"/>
            <w:r w:rsidRPr="00AD5078">
              <w:rPr>
                <w:rFonts w:ascii="Aptos" w:eastAsia="Times New Roman" w:hAnsi="Aptos" w:cs="Times New Roman"/>
                <w:sz w:val="24"/>
                <w:szCs w:val="24"/>
                <w:lang w:val="es-ES_tradnl"/>
              </w:rPr>
              <w:t xml:space="preserve"> con hidrógeno, en los programas establecidos de transición energética en movilidad sostenible para el transporte público, transporte minero-industrial, transporte comercial y de pasajeros (...)”.  </w:t>
            </w:r>
          </w:p>
          <w:p w14:paraId="2098EA91" w14:textId="77777777" w:rsidR="00B810CB" w:rsidRPr="00AD5078" w:rsidRDefault="00B810CB" w:rsidP="004C741C">
            <w:pPr>
              <w:jc w:val="both"/>
              <w:rPr>
                <w:rFonts w:ascii="Aptos" w:eastAsia="Times New Roman" w:hAnsi="Aptos" w:cs="Times New Roman"/>
                <w:sz w:val="24"/>
                <w:szCs w:val="24"/>
                <w:lang w:val="es-ES_tradnl"/>
              </w:rPr>
            </w:pPr>
          </w:p>
        </w:tc>
      </w:tr>
      <w:tr w:rsidR="00B810CB" w:rsidRPr="00AD5078" w14:paraId="44FF87E2" w14:textId="77777777" w:rsidTr="004C741C">
        <w:trPr>
          <w:trHeight w:val="303"/>
          <w:jc w:val="center"/>
        </w:trPr>
        <w:tc>
          <w:tcPr>
            <w:tcW w:w="1016" w:type="dxa"/>
          </w:tcPr>
          <w:p w14:paraId="26DCACC8" w14:textId="77777777" w:rsidR="00B810CB" w:rsidRPr="00AD5078" w:rsidRDefault="00B810CB" w:rsidP="004C741C">
            <w:pPr>
              <w:jc w:val="both"/>
              <w:rPr>
                <w:rFonts w:ascii="Aptos" w:eastAsia="Times New Roman" w:hAnsi="Aptos" w:cs="Times New Roman"/>
                <w:b/>
                <w:bCs/>
                <w:sz w:val="24"/>
                <w:szCs w:val="24"/>
                <w:lang w:val="es-ES_tradnl"/>
              </w:rPr>
            </w:pPr>
            <w:r w:rsidRPr="00AD5078">
              <w:rPr>
                <w:rFonts w:ascii="Aptos" w:eastAsia="Times New Roman" w:hAnsi="Aptos" w:cs="Times New Roman"/>
                <w:b/>
                <w:bCs/>
                <w:sz w:val="24"/>
                <w:szCs w:val="24"/>
                <w:lang w:val="es-ES_tradnl"/>
              </w:rPr>
              <w:lastRenderedPageBreak/>
              <w:t>16</w:t>
            </w:r>
          </w:p>
        </w:tc>
        <w:tc>
          <w:tcPr>
            <w:tcW w:w="7484" w:type="dxa"/>
          </w:tcPr>
          <w:p w14:paraId="7ADD2D73" w14:textId="77777777" w:rsidR="00B810CB" w:rsidRPr="00AD5078" w:rsidRDefault="00B810CB" w:rsidP="004C741C">
            <w:pPr>
              <w:jc w:val="both"/>
              <w:rPr>
                <w:rFonts w:ascii="Aptos" w:eastAsia="Times New Roman" w:hAnsi="Aptos" w:cs="Times New Roman"/>
                <w:sz w:val="24"/>
                <w:szCs w:val="24"/>
                <w:lang w:val="es-ES_tradnl"/>
              </w:rPr>
            </w:pPr>
            <w:r w:rsidRPr="00AD5078">
              <w:rPr>
                <w:rFonts w:ascii="Aptos" w:eastAsia="Times New Roman" w:hAnsi="Aptos" w:cs="Times New Roman"/>
                <w:sz w:val="24"/>
                <w:szCs w:val="24"/>
                <w:lang w:val="es-ES_tradnl"/>
              </w:rPr>
              <w:t>El Gobierno nacional a través del Ministerio de Transporte garantizará la exención de</w:t>
            </w:r>
            <w:r w:rsidRPr="00AD5078">
              <w:rPr>
                <w:rFonts w:ascii="Aptos" w:eastAsia="Times New Roman" w:hAnsi="Aptos" w:cs="Times New Roman"/>
                <w:spacing w:val="-2"/>
                <w:sz w:val="24"/>
                <w:szCs w:val="24"/>
                <w:lang w:val="es-ES_tradnl"/>
              </w:rPr>
              <w:t xml:space="preserve"> </w:t>
            </w:r>
            <w:r w:rsidRPr="00AD5078">
              <w:rPr>
                <w:rFonts w:ascii="Aptos" w:eastAsia="Times New Roman" w:hAnsi="Aptos" w:cs="Times New Roman"/>
                <w:sz w:val="24"/>
                <w:szCs w:val="24"/>
                <w:lang w:val="es-ES_tradnl"/>
              </w:rPr>
              <w:t>medidas</w:t>
            </w:r>
            <w:r w:rsidRPr="00AD5078">
              <w:rPr>
                <w:rFonts w:ascii="Aptos" w:eastAsia="Times New Roman" w:hAnsi="Aptos" w:cs="Times New Roman"/>
                <w:spacing w:val="-2"/>
                <w:sz w:val="24"/>
                <w:szCs w:val="24"/>
                <w:lang w:val="es-ES_tradnl"/>
              </w:rPr>
              <w:t xml:space="preserve"> </w:t>
            </w:r>
            <w:r w:rsidRPr="00AD5078">
              <w:rPr>
                <w:rFonts w:ascii="Aptos" w:eastAsia="Times New Roman" w:hAnsi="Aptos" w:cs="Times New Roman"/>
                <w:sz w:val="24"/>
                <w:szCs w:val="24"/>
                <w:lang w:val="es-ES_tradnl"/>
              </w:rPr>
              <w:t>de</w:t>
            </w:r>
            <w:r w:rsidRPr="00AD5078">
              <w:rPr>
                <w:rFonts w:ascii="Aptos" w:eastAsia="Times New Roman" w:hAnsi="Aptos" w:cs="Times New Roman"/>
                <w:spacing w:val="-2"/>
                <w:sz w:val="24"/>
                <w:szCs w:val="24"/>
                <w:lang w:val="es-ES_tradnl"/>
              </w:rPr>
              <w:t xml:space="preserve"> </w:t>
            </w:r>
            <w:r w:rsidRPr="00AD5078">
              <w:rPr>
                <w:rFonts w:ascii="Aptos" w:eastAsia="Times New Roman" w:hAnsi="Aptos" w:cs="Times New Roman"/>
                <w:sz w:val="24"/>
                <w:szCs w:val="24"/>
                <w:lang w:val="es-ES_tradnl"/>
              </w:rPr>
              <w:t>restricción</w:t>
            </w:r>
            <w:r w:rsidRPr="00AD5078">
              <w:rPr>
                <w:rFonts w:ascii="Aptos" w:eastAsia="Times New Roman" w:hAnsi="Aptos" w:cs="Times New Roman"/>
                <w:spacing w:val="-2"/>
                <w:sz w:val="24"/>
                <w:szCs w:val="24"/>
                <w:lang w:val="es-ES_tradnl"/>
              </w:rPr>
              <w:t xml:space="preserve"> </w:t>
            </w:r>
            <w:r w:rsidRPr="00AD5078">
              <w:rPr>
                <w:rFonts w:ascii="Aptos" w:eastAsia="Times New Roman" w:hAnsi="Aptos" w:cs="Times New Roman"/>
                <w:sz w:val="24"/>
                <w:szCs w:val="24"/>
                <w:lang w:val="es-ES_tradnl"/>
              </w:rPr>
              <w:t>de</w:t>
            </w:r>
            <w:r w:rsidRPr="00AD5078">
              <w:rPr>
                <w:rFonts w:ascii="Aptos" w:eastAsia="Times New Roman" w:hAnsi="Aptos" w:cs="Times New Roman"/>
                <w:spacing w:val="-2"/>
                <w:sz w:val="24"/>
                <w:szCs w:val="24"/>
                <w:lang w:val="es-ES_tradnl"/>
              </w:rPr>
              <w:t xml:space="preserve"> </w:t>
            </w:r>
            <w:r w:rsidRPr="00AD5078">
              <w:rPr>
                <w:rFonts w:ascii="Aptos" w:eastAsia="Times New Roman" w:hAnsi="Aptos" w:cs="Times New Roman"/>
                <w:sz w:val="24"/>
                <w:szCs w:val="24"/>
                <w:lang w:val="es-ES_tradnl"/>
              </w:rPr>
              <w:t>circulación</w:t>
            </w:r>
            <w:r w:rsidRPr="00AD5078">
              <w:rPr>
                <w:rFonts w:ascii="Aptos" w:eastAsia="Times New Roman" w:hAnsi="Aptos" w:cs="Times New Roman"/>
                <w:spacing w:val="-2"/>
                <w:sz w:val="24"/>
                <w:szCs w:val="24"/>
                <w:lang w:val="es-ES_tradnl"/>
              </w:rPr>
              <w:t xml:space="preserve"> </w:t>
            </w:r>
            <w:r w:rsidRPr="00AD5078">
              <w:rPr>
                <w:rFonts w:ascii="Aptos" w:eastAsia="Times New Roman" w:hAnsi="Aptos" w:cs="Times New Roman"/>
                <w:sz w:val="24"/>
                <w:szCs w:val="24"/>
                <w:lang w:val="es-ES_tradnl"/>
              </w:rPr>
              <w:t>en</w:t>
            </w:r>
            <w:r w:rsidRPr="00AD5078">
              <w:rPr>
                <w:rFonts w:ascii="Aptos" w:eastAsia="Times New Roman" w:hAnsi="Aptos" w:cs="Times New Roman"/>
                <w:spacing w:val="-2"/>
                <w:sz w:val="24"/>
                <w:szCs w:val="24"/>
                <w:lang w:val="es-ES_tradnl"/>
              </w:rPr>
              <w:t xml:space="preserve"> </w:t>
            </w:r>
            <w:r w:rsidRPr="00AD5078">
              <w:rPr>
                <w:rFonts w:ascii="Aptos" w:eastAsia="Times New Roman" w:hAnsi="Aptos" w:cs="Times New Roman"/>
                <w:sz w:val="24"/>
                <w:szCs w:val="24"/>
                <w:lang w:val="es-ES_tradnl"/>
              </w:rPr>
              <w:t>el</w:t>
            </w:r>
            <w:r w:rsidRPr="00AD5078">
              <w:rPr>
                <w:rFonts w:ascii="Aptos" w:eastAsia="Times New Roman" w:hAnsi="Aptos" w:cs="Times New Roman"/>
                <w:spacing w:val="-2"/>
                <w:sz w:val="24"/>
                <w:szCs w:val="24"/>
                <w:lang w:val="es-ES_tradnl"/>
              </w:rPr>
              <w:t xml:space="preserve"> </w:t>
            </w:r>
            <w:r w:rsidRPr="00AD5078">
              <w:rPr>
                <w:rFonts w:ascii="Aptos" w:eastAsia="Times New Roman" w:hAnsi="Aptos" w:cs="Times New Roman"/>
                <w:sz w:val="24"/>
                <w:szCs w:val="24"/>
                <w:lang w:val="es-ES_tradnl"/>
              </w:rPr>
              <w:t>país</w:t>
            </w:r>
            <w:r w:rsidRPr="00AD5078">
              <w:rPr>
                <w:rFonts w:ascii="Aptos" w:eastAsia="Times New Roman" w:hAnsi="Aptos" w:cs="Times New Roman"/>
                <w:spacing w:val="-2"/>
                <w:sz w:val="24"/>
                <w:szCs w:val="24"/>
                <w:lang w:val="es-ES_tradnl"/>
              </w:rPr>
              <w:t xml:space="preserve"> </w:t>
            </w:r>
            <w:r w:rsidRPr="00AD5078">
              <w:rPr>
                <w:rFonts w:ascii="Aptos" w:eastAsia="Times New Roman" w:hAnsi="Aptos" w:cs="Times New Roman"/>
                <w:sz w:val="24"/>
                <w:szCs w:val="24"/>
                <w:lang w:val="es-ES_tradnl"/>
              </w:rPr>
              <w:t>a</w:t>
            </w:r>
            <w:r w:rsidRPr="00AD5078">
              <w:rPr>
                <w:rFonts w:ascii="Aptos" w:eastAsia="Times New Roman" w:hAnsi="Aptos" w:cs="Times New Roman"/>
                <w:spacing w:val="-2"/>
                <w:sz w:val="24"/>
                <w:szCs w:val="24"/>
                <w:lang w:val="es-ES_tradnl"/>
              </w:rPr>
              <w:t xml:space="preserve"> </w:t>
            </w:r>
            <w:r w:rsidRPr="00AD5078">
              <w:rPr>
                <w:rFonts w:ascii="Aptos" w:eastAsia="Times New Roman" w:hAnsi="Aptos" w:cs="Times New Roman"/>
                <w:sz w:val="24"/>
                <w:szCs w:val="24"/>
                <w:lang w:val="es-ES_tradnl"/>
              </w:rPr>
              <w:t xml:space="preserve">todos aquellos vehículos dedicados, híbridos con hidrógeno y vehículos convertidos a hidrógeno por al menos un periodo de 3 años. No obstante, </w:t>
            </w:r>
            <w:r w:rsidRPr="00AD5078">
              <w:rPr>
                <w:rFonts w:ascii="Aptos" w:eastAsia="Times New Roman" w:hAnsi="Aptos" w:cs="Times New Roman"/>
                <w:sz w:val="24"/>
                <w:szCs w:val="24"/>
                <w:lang w:val="es-ES_tradnl"/>
              </w:rPr>
              <w:lastRenderedPageBreak/>
              <w:t>estarán obligados a obtener el certificado de la</w:t>
            </w:r>
            <w:r w:rsidRPr="00AD5078">
              <w:rPr>
                <w:rFonts w:ascii="Aptos" w:eastAsia="Times New Roman" w:hAnsi="Aptos" w:cs="Times New Roman"/>
                <w:spacing w:val="-3"/>
                <w:sz w:val="24"/>
                <w:szCs w:val="24"/>
                <w:lang w:val="es-ES_tradnl"/>
              </w:rPr>
              <w:t xml:space="preserve"> </w:t>
            </w:r>
            <w:r w:rsidRPr="00AD5078">
              <w:rPr>
                <w:rFonts w:ascii="Aptos" w:eastAsia="Times New Roman" w:hAnsi="Aptos" w:cs="Times New Roman"/>
                <w:sz w:val="24"/>
                <w:szCs w:val="24"/>
                <w:lang w:val="es-ES_tradnl"/>
              </w:rPr>
              <w:t>revisión</w:t>
            </w:r>
            <w:r w:rsidRPr="00AD5078">
              <w:rPr>
                <w:rFonts w:ascii="Aptos" w:eastAsia="Times New Roman" w:hAnsi="Aptos" w:cs="Times New Roman"/>
                <w:spacing w:val="-3"/>
                <w:sz w:val="24"/>
                <w:szCs w:val="24"/>
                <w:lang w:val="es-ES_tradnl"/>
              </w:rPr>
              <w:t xml:space="preserve"> </w:t>
            </w:r>
            <w:r w:rsidRPr="00AD5078">
              <w:rPr>
                <w:rFonts w:ascii="Aptos" w:eastAsia="Times New Roman" w:hAnsi="Aptos" w:cs="Times New Roman"/>
                <w:sz w:val="24"/>
                <w:szCs w:val="24"/>
                <w:lang w:val="es-ES_tradnl"/>
              </w:rPr>
              <w:t>técnico-mecánica</w:t>
            </w:r>
            <w:r w:rsidRPr="00AD5078">
              <w:rPr>
                <w:rFonts w:ascii="Aptos" w:eastAsia="Times New Roman" w:hAnsi="Aptos" w:cs="Times New Roman"/>
                <w:spacing w:val="-3"/>
                <w:sz w:val="24"/>
                <w:szCs w:val="24"/>
                <w:lang w:val="es-ES_tradnl"/>
              </w:rPr>
              <w:t xml:space="preserve"> </w:t>
            </w:r>
            <w:r w:rsidRPr="00AD5078">
              <w:rPr>
                <w:rFonts w:ascii="Aptos" w:eastAsia="Times New Roman" w:hAnsi="Aptos" w:cs="Times New Roman"/>
                <w:sz w:val="24"/>
                <w:szCs w:val="24"/>
                <w:lang w:val="es-ES_tradnl"/>
              </w:rPr>
              <w:t>exigido,</w:t>
            </w:r>
            <w:r w:rsidRPr="00AD5078">
              <w:rPr>
                <w:rFonts w:ascii="Aptos" w:eastAsia="Times New Roman" w:hAnsi="Aptos" w:cs="Times New Roman"/>
                <w:spacing w:val="-3"/>
                <w:sz w:val="24"/>
                <w:szCs w:val="24"/>
                <w:lang w:val="es-ES_tradnl"/>
              </w:rPr>
              <w:t xml:space="preserve"> </w:t>
            </w:r>
            <w:r w:rsidRPr="00AD5078">
              <w:rPr>
                <w:rFonts w:ascii="Aptos" w:eastAsia="Times New Roman" w:hAnsi="Aptos" w:cs="Times New Roman"/>
                <w:sz w:val="24"/>
                <w:szCs w:val="24"/>
                <w:lang w:val="es-ES_tradnl"/>
              </w:rPr>
              <w:t>sin</w:t>
            </w:r>
            <w:r w:rsidRPr="00AD5078">
              <w:rPr>
                <w:rFonts w:ascii="Aptos" w:eastAsia="Times New Roman" w:hAnsi="Aptos" w:cs="Times New Roman"/>
                <w:spacing w:val="-3"/>
                <w:sz w:val="24"/>
                <w:szCs w:val="24"/>
                <w:lang w:val="es-ES_tradnl"/>
              </w:rPr>
              <w:t xml:space="preserve"> </w:t>
            </w:r>
            <w:r w:rsidRPr="00AD5078">
              <w:rPr>
                <w:rFonts w:ascii="Aptos" w:eastAsia="Times New Roman" w:hAnsi="Aptos" w:cs="Times New Roman"/>
                <w:sz w:val="24"/>
                <w:szCs w:val="24"/>
                <w:lang w:val="es-ES_tradnl"/>
              </w:rPr>
              <w:t>la</w:t>
            </w:r>
            <w:r w:rsidRPr="00AD5078">
              <w:rPr>
                <w:rFonts w:ascii="Aptos" w:eastAsia="Times New Roman" w:hAnsi="Aptos" w:cs="Times New Roman"/>
                <w:spacing w:val="-3"/>
                <w:sz w:val="24"/>
                <w:szCs w:val="24"/>
                <w:lang w:val="es-ES_tradnl"/>
              </w:rPr>
              <w:t xml:space="preserve"> </w:t>
            </w:r>
            <w:r w:rsidRPr="00AD5078">
              <w:rPr>
                <w:rFonts w:ascii="Aptos" w:eastAsia="Times New Roman" w:hAnsi="Aptos" w:cs="Times New Roman"/>
                <w:sz w:val="24"/>
                <w:szCs w:val="24"/>
                <w:lang w:val="es-ES_tradnl"/>
              </w:rPr>
              <w:t>verificación</w:t>
            </w:r>
            <w:r w:rsidRPr="00AD5078">
              <w:rPr>
                <w:rFonts w:ascii="Aptos" w:eastAsia="Times New Roman" w:hAnsi="Aptos" w:cs="Times New Roman"/>
                <w:spacing w:val="-3"/>
                <w:sz w:val="24"/>
                <w:szCs w:val="24"/>
                <w:lang w:val="es-ES_tradnl"/>
              </w:rPr>
              <w:t xml:space="preserve"> </w:t>
            </w:r>
            <w:r w:rsidRPr="00AD5078">
              <w:rPr>
                <w:rFonts w:ascii="Aptos" w:eastAsia="Times New Roman" w:hAnsi="Aptos" w:cs="Times New Roman"/>
                <w:sz w:val="24"/>
                <w:szCs w:val="24"/>
                <w:lang w:val="es-ES_tradnl"/>
              </w:rPr>
              <w:t>de la emisión de emisión de gases contaminantes, ya que por su naturaleza no generan o emiten gases contaminantes.</w:t>
            </w:r>
          </w:p>
        </w:tc>
        <w:tc>
          <w:tcPr>
            <w:tcW w:w="3402" w:type="dxa"/>
          </w:tcPr>
          <w:p w14:paraId="122588D8" w14:textId="77777777" w:rsidR="00B810CB" w:rsidRPr="00AD5078" w:rsidRDefault="00B810CB" w:rsidP="004C741C">
            <w:pPr>
              <w:jc w:val="both"/>
              <w:rPr>
                <w:rFonts w:ascii="Aptos" w:eastAsia="Times New Roman" w:hAnsi="Aptos" w:cs="Times New Roman"/>
                <w:sz w:val="24"/>
                <w:szCs w:val="24"/>
                <w:lang w:val="es-ES_tradnl"/>
              </w:rPr>
            </w:pPr>
            <w:r w:rsidRPr="00AD5078">
              <w:rPr>
                <w:rFonts w:ascii="Aptos" w:eastAsia="Times New Roman" w:hAnsi="Aptos" w:cs="Times New Roman"/>
                <w:sz w:val="24"/>
                <w:szCs w:val="24"/>
                <w:lang w:val="es-ES_tradnl"/>
              </w:rPr>
              <w:lastRenderedPageBreak/>
              <w:t>Sin modificaciones</w:t>
            </w:r>
          </w:p>
        </w:tc>
      </w:tr>
      <w:tr w:rsidR="00B810CB" w:rsidRPr="00AD5078" w14:paraId="78350189" w14:textId="77777777" w:rsidTr="004C741C">
        <w:trPr>
          <w:trHeight w:val="303"/>
          <w:jc w:val="center"/>
        </w:trPr>
        <w:tc>
          <w:tcPr>
            <w:tcW w:w="1016" w:type="dxa"/>
          </w:tcPr>
          <w:p w14:paraId="1A0CB289" w14:textId="77777777" w:rsidR="00B810CB" w:rsidRPr="00AD5078" w:rsidRDefault="00B810CB" w:rsidP="004C741C">
            <w:pPr>
              <w:jc w:val="both"/>
              <w:rPr>
                <w:rFonts w:ascii="Aptos" w:eastAsia="Times New Roman" w:hAnsi="Aptos" w:cs="Times New Roman"/>
                <w:b/>
                <w:bCs/>
                <w:sz w:val="24"/>
                <w:szCs w:val="24"/>
                <w:lang w:val="es-ES_tradnl"/>
              </w:rPr>
            </w:pPr>
            <w:r w:rsidRPr="00AD5078">
              <w:rPr>
                <w:rFonts w:ascii="Aptos" w:eastAsia="Times New Roman" w:hAnsi="Aptos" w:cs="Times New Roman"/>
                <w:b/>
                <w:bCs/>
                <w:sz w:val="24"/>
                <w:szCs w:val="24"/>
                <w:lang w:val="es-ES_tradnl"/>
              </w:rPr>
              <w:t>17</w:t>
            </w:r>
          </w:p>
        </w:tc>
        <w:tc>
          <w:tcPr>
            <w:tcW w:w="7484" w:type="dxa"/>
          </w:tcPr>
          <w:p w14:paraId="7429E58B" w14:textId="77777777" w:rsidR="00B810CB" w:rsidRPr="00AD5078" w:rsidRDefault="00B810CB" w:rsidP="004C741C">
            <w:pPr>
              <w:spacing w:after="0" w:line="240" w:lineRule="auto"/>
              <w:jc w:val="both"/>
              <w:rPr>
                <w:rFonts w:ascii="Aptos" w:eastAsia="Times New Roman" w:hAnsi="Aptos" w:cs="Times New Roman"/>
                <w:spacing w:val="-10"/>
                <w:sz w:val="24"/>
                <w:szCs w:val="24"/>
                <w:lang w:val="es-ES_tradnl"/>
              </w:rPr>
            </w:pPr>
            <w:r w:rsidRPr="00AD5078">
              <w:rPr>
                <w:rFonts w:ascii="Aptos" w:eastAsia="Times New Roman" w:hAnsi="Aptos" w:cs="Times New Roman"/>
                <w:sz w:val="24"/>
                <w:szCs w:val="24"/>
                <w:lang w:val="es-ES_tradnl"/>
              </w:rPr>
              <w:t>El Gobierno nacional a través del Ministerio de Comercio, Industria</w:t>
            </w:r>
            <w:r w:rsidRPr="00AD5078">
              <w:rPr>
                <w:rFonts w:ascii="Aptos" w:eastAsia="Times New Roman" w:hAnsi="Aptos" w:cs="Times New Roman"/>
                <w:spacing w:val="55"/>
                <w:sz w:val="24"/>
                <w:szCs w:val="24"/>
                <w:lang w:val="es-ES_tradnl"/>
              </w:rPr>
              <w:t xml:space="preserve"> </w:t>
            </w:r>
            <w:r w:rsidRPr="00AD5078">
              <w:rPr>
                <w:rFonts w:ascii="Aptos" w:eastAsia="Times New Roman" w:hAnsi="Aptos" w:cs="Times New Roman"/>
                <w:sz w:val="24"/>
                <w:szCs w:val="24"/>
                <w:lang w:val="es-ES_tradnl"/>
              </w:rPr>
              <w:t>y</w:t>
            </w:r>
            <w:r w:rsidRPr="00AD5078">
              <w:rPr>
                <w:rFonts w:ascii="Aptos" w:eastAsia="Times New Roman" w:hAnsi="Aptos" w:cs="Times New Roman"/>
                <w:spacing w:val="57"/>
                <w:sz w:val="24"/>
                <w:szCs w:val="24"/>
                <w:lang w:val="es-ES_tradnl"/>
              </w:rPr>
              <w:t xml:space="preserve"> </w:t>
            </w:r>
            <w:r w:rsidRPr="00AD5078">
              <w:rPr>
                <w:rFonts w:ascii="Aptos" w:eastAsia="Times New Roman" w:hAnsi="Aptos" w:cs="Times New Roman"/>
                <w:sz w:val="24"/>
                <w:szCs w:val="24"/>
                <w:lang w:val="es-ES_tradnl"/>
              </w:rPr>
              <w:t>Turismo;</w:t>
            </w:r>
            <w:r w:rsidRPr="00AD5078">
              <w:rPr>
                <w:rFonts w:ascii="Aptos" w:eastAsia="Times New Roman" w:hAnsi="Aptos" w:cs="Times New Roman"/>
                <w:spacing w:val="58"/>
                <w:sz w:val="24"/>
                <w:szCs w:val="24"/>
                <w:lang w:val="es-ES_tradnl"/>
              </w:rPr>
              <w:t xml:space="preserve"> </w:t>
            </w:r>
            <w:r w:rsidRPr="00AD5078">
              <w:rPr>
                <w:rFonts w:ascii="Aptos" w:eastAsia="Times New Roman" w:hAnsi="Aptos" w:cs="Times New Roman"/>
                <w:sz w:val="24"/>
                <w:szCs w:val="24"/>
                <w:lang w:val="es-ES_tradnl"/>
              </w:rPr>
              <w:t>el</w:t>
            </w:r>
            <w:r w:rsidRPr="00AD5078">
              <w:rPr>
                <w:rFonts w:ascii="Aptos" w:eastAsia="Times New Roman" w:hAnsi="Aptos" w:cs="Times New Roman"/>
                <w:spacing w:val="57"/>
                <w:sz w:val="24"/>
                <w:szCs w:val="24"/>
                <w:lang w:val="es-ES_tradnl"/>
              </w:rPr>
              <w:t xml:space="preserve"> </w:t>
            </w:r>
            <w:r w:rsidRPr="00AD5078">
              <w:rPr>
                <w:rFonts w:ascii="Aptos" w:eastAsia="Times New Roman" w:hAnsi="Aptos" w:cs="Times New Roman"/>
                <w:sz w:val="24"/>
                <w:szCs w:val="24"/>
                <w:lang w:val="es-ES_tradnl"/>
              </w:rPr>
              <w:t>Ministerio</w:t>
            </w:r>
            <w:r w:rsidRPr="00AD5078">
              <w:rPr>
                <w:rFonts w:ascii="Aptos" w:eastAsia="Times New Roman" w:hAnsi="Aptos" w:cs="Times New Roman"/>
                <w:spacing w:val="58"/>
                <w:sz w:val="24"/>
                <w:szCs w:val="24"/>
                <w:lang w:val="es-ES_tradnl"/>
              </w:rPr>
              <w:t xml:space="preserve"> </w:t>
            </w:r>
            <w:r w:rsidRPr="00AD5078">
              <w:rPr>
                <w:rFonts w:ascii="Aptos" w:eastAsia="Times New Roman" w:hAnsi="Aptos" w:cs="Times New Roman"/>
                <w:sz w:val="24"/>
                <w:szCs w:val="24"/>
                <w:lang w:val="es-ES_tradnl"/>
              </w:rPr>
              <w:t>de</w:t>
            </w:r>
            <w:r w:rsidRPr="00AD5078">
              <w:rPr>
                <w:rFonts w:ascii="Aptos" w:eastAsia="Times New Roman" w:hAnsi="Aptos" w:cs="Times New Roman"/>
                <w:spacing w:val="57"/>
                <w:sz w:val="24"/>
                <w:szCs w:val="24"/>
                <w:lang w:val="es-ES_tradnl"/>
              </w:rPr>
              <w:t xml:space="preserve"> </w:t>
            </w:r>
            <w:r w:rsidRPr="00AD5078">
              <w:rPr>
                <w:rFonts w:ascii="Aptos" w:eastAsia="Times New Roman" w:hAnsi="Aptos" w:cs="Times New Roman"/>
                <w:sz w:val="24"/>
                <w:szCs w:val="24"/>
                <w:lang w:val="es-ES_tradnl"/>
              </w:rPr>
              <w:t>Transporte</w:t>
            </w:r>
            <w:r w:rsidRPr="00AD5078">
              <w:rPr>
                <w:rFonts w:ascii="Aptos" w:eastAsia="Times New Roman" w:hAnsi="Aptos" w:cs="Times New Roman"/>
                <w:spacing w:val="58"/>
                <w:sz w:val="24"/>
                <w:szCs w:val="24"/>
                <w:lang w:val="es-ES_tradnl"/>
              </w:rPr>
              <w:t xml:space="preserve"> </w:t>
            </w:r>
            <w:r w:rsidRPr="00AD5078">
              <w:rPr>
                <w:rFonts w:ascii="Aptos" w:eastAsia="Times New Roman" w:hAnsi="Aptos" w:cs="Times New Roman"/>
                <w:sz w:val="24"/>
                <w:szCs w:val="24"/>
                <w:lang w:val="es-ES_tradnl"/>
              </w:rPr>
              <w:t>y</w:t>
            </w:r>
            <w:r w:rsidRPr="00AD5078">
              <w:rPr>
                <w:rFonts w:ascii="Aptos" w:eastAsia="Times New Roman" w:hAnsi="Aptos" w:cs="Times New Roman"/>
                <w:spacing w:val="57"/>
                <w:sz w:val="24"/>
                <w:szCs w:val="24"/>
                <w:lang w:val="es-ES_tradnl"/>
              </w:rPr>
              <w:t xml:space="preserve"> </w:t>
            </w:r>
            <w:r w:rsidRPr="00AD5078">
              <w:rPr>
                <w:rFonts w:ascii="Aptos" w:eastAsia="Times New Roman" w:hAnsi="Aptos" w:cs="Times New Roman"/>
                <w:sz w:val="24"/>
                <w:szCs w:val="24"/>
                <w:lang w:val="es-ES_tradnl"/>
              </w:rPr>
              <w:t>el</w:t>
            </w:r>
            <w:r w:rsidRPr="00AD5078">
              <w:rPr>
                <w:rFonts w:ascii="Aptos" w:eastAsia="Times New Roman" w:hAnsi="Aptos" w:cs="Times New Roman"/>
                <w:spacing w:val="58"/>
                <w:sz w:val="24"/>
                <w:szCs w:val="24"/>
                <w:lang w:val="es-ES_tradnl"/>
              </w:rPr>
              <w:t xml:space="preserve"> </w:t>
            </w:r>
            <w:r w:rsidRPr="00AD5078">
              <w:rPr>
                <w:rFonts w:ascii="Aptos" w:eastAsia="Times New Roman" w:hAnsi="Aptos" w:cs="Times New Roman"/>
                <w:sz w:val="24"/>
                <w:szCs w:val="24"/>
                <w:lang w:val="es-ES_tradnl"/>
              </w:rPr>
              <w:t>Ministerio</w:t>
            </w:r>
            <w:r w:rsidRPr="00AD5078">
              <w:rPr>
                <w:rFonts w:ascii="Aptos" w:eastAsia="Times New Roman" w:hAnsi="Aptos" w:cs="Times New Roman"/>
                <w:spacing w:val="57"/>
                <w:sz w:val="24"/>
                <w:szCs w:val="24"/>
                <w:lang w:val="es-ES_tradnl"/>
              </w:rPr>
              <w:t xml:space="preserve"> </w:t>
            </w:r>
            <w:r w:rsidRPr="00AD5078">
              <w:rPr>
                <w:rFonts w:ascii="Aptos" w:eastAsia="Times New Roman" w:hAnsi="Aptos" w:cs="Times New Roman"/>
                <w:sz w:val="24"/>
                <w:szCs w:val="24"/>
                <w:lang w:val="es-ES_tradnl"/>
              </w:rPr>
              <w:t>de</w:t>
            </w:r>
            <w:r w:rsidRPr="00AD5078">
              <w:rPr>
                <w:rFonts w:ascii="Aptos" w:eastAsia="Times New Roman" w:hAnsi="Aptos" w:cs="Times New Roman"/>
                <w:spacing w:val="58"/>
                <w:sz w:val="24"/>
                <w:szCs w:val="24"/>
                <w:lang w:val="es-ES_tradnl"/>
              </w:rPr>
              <w:t xml:space="preserve"> </w:t>
            </w:r>
            <w:r w:rsidRPr="00AD5078">
              <w:rPr>
                <w:rFonts w:ascii="Aptos" w:eastAsia="Times New Roman" w:hAnsi="Aptos" w:cs="Times New Roman"/>
                <w:sz w:val="24"/>
                <w:szCs w:val="24"/>
                <w:lang w:val="es-ES_tradnl"/>
              </w:rPr>
              <w:t>Hacienda</w:t>
            </w:r>
            <w:r w:rsidRPr="00AD5078">
              <w:rPr>
                <w:rFonts w:ascii="Aptos" w:eastAsia="Times New Roman" w:hAnsi="Aptos" w:cs="Times New Roman"/>
                <w:spacing w:val="43"/>
                <w:sz w:val="24"/>
                <w:szCs w:val="24"/>
                <w:lang w:val="es-ES_tradnl"/>
              </w:rPr>
              <w:t xml:space="preserve"> </w:t>
            </w:r>
            <w:r w:rsidRPr="00AD5078">
              <w:rPr>
                <w:rFonts w:ascii="Aptos" w:eastAsia="Times New Roman" w:hAnsi="Aptos" w:cs="Times New Roman"/>
                <w:spacing w:val="-10"/>
                <w:sz w:val="24"/>
                <w:szCs w:val="24"/>
                <w:lang w:val="es-ES_tradnl"/>
              </w:rPr>
              <w:t>y Crédito Público establecerá las exenciones de impuestos de arancel a los vehículos dedicados y convertidos a hidrógeno.</w:t>
            </w:r>
          </w:p>
          <w:p w14:paraId="0657F30C" w14:textId="77777777" w:rsidR="00B810CB" w:rsidRPr="00AD5078" w:rsidRDefault="00B810CB" w:rsidP="004C741C">
            <w:pPr>
              <w:spacing w:after="0" w:line="240" w:lineRule="auto"/>
              <w:jc w:val="both"/>
              <w:rPr>
                <w:rFonts w:ascii="Aptos" w:eastAsia="Times New Roman" w:hAnsi="Aptos" w:cs="Times New Roman"/>
                <w:spacing w:val="-10"/>
                <w:sz w:val="24"/>
                <w:szCs w:val="24"/>
                <w:lang w:val="es-ES_tradnl"/>
              </w:rPr>
            </w:pPr>
            <w:r w:rsidRPr="00AD5078">
              <w:rPr>
                <w:rFonts w:ascii="Aptos" w:eastAsia="Times New Roman" w:hAnsi="Aptos" w:cs="Times New Roman"/>
                <w:b/>
                <w:bCs/>
                <w:spacing w:val="-10"/>
                <w:sz w:val="24"/>
                <w:szCs w:val="24"/>
                <w:lang w:val="es-ES_tradnl"/>
              </w:rPr>
              <w:t xml:space="preserve">Parágrafo. </w:t>
            </w:r>
            <w:r w:rsidRPr="00AD5078">
              <w:rPr>
                <w:rFonts w:ascii="Aptos" w:eastAsia="Times New Roman" w:hAnsi="Aptos" w:cs="Times New Roman"/>
                <w:spacing w:val="-10"/>
                <w:sz w:val="24"/>
                <w:szCs w:val="24"/>
                <w:lang w:val="es-ES_tradnl"/>
              </w:rPr>
              <w:t>Se extienden los beneficios establecidos para los vehículos eléctricos vigentes en la ley 1964 de 2019, o aquellas que la modifiquen o sustituyan, a vehículos dedicados a hidrógeno y a todos los componentes necesarios para la transformación a hidrógeno de vehículos de motor de combustión de hidrocarburos.</w:t>
            </w:r>
          </w:p>
          <w:p w14:paraId="7713B60C" w14:textId="77777777" w:rsidR="00B810CB" w:rsidRPr="00AD5078" w:rsidRDefault="00B810CB" w:rsidP="004C741C">
            <w:pPr>
              <w:jc w:val="both"/>
              <w:rPr>
                <w:rFonts w:ascii="Aptos" w:eastAsia="Times New Roman" w:hAnsi="Aptos" w:cs="Times New Roman"/>
                <w:sz w:val="24"/>
                <w:szCs w:val="24"/>
                <w:lang w:val="es-ES_tradnl"/>
              </w:rPr>
            </w:pPr>
          </w:p>
        </w:tc>
        <w:tc>
          <w:tcPr>
            <w:tcW w:w="3402" w:type="dxa"/>
          </w:tcPr>
          <w:p w14:paraId="4A3BEE62" w14:textId="77777777" w:rsidR="00B810CB" w:rsidRPr="00AD5078" w:rsidRDefault="00B810CB" w:rsidP="004C741C">
            <w:pPr>
              <w:jc w:val="both"/>
              <w:rPr>
                <w:rFonts w:ascii="Aptos" w:eastAsia="Times New Roman" w:hAnsi="Aptos" w:cs="Times New Roman"/>
                <w:sz w:val="24"/>
                <w:szCs w:val="24"/>
                <w:lang w:val="es-ES_tradnl"/>
              </w:rPr>
            </w:pPr>
            <w:r w:rsidRPr="00AD5078">
              <w:rPr>
                <w:rFonts w:ascii="Aptos" w:eastAsia="Times New Roman" w:hAnsi="Aptos" w:cs="Times New Roman"/>
                <w:sz w:val="24"/>
                <w:szCs w:val="24"/>
                <w:lang w:val="es-ES_tradnl"/>
              </w:rPr>
              <w:t>Sin modificaciones</w:t>
            </w:r>
          </w:p>
        </w:tc>
      </w:tr>
      <w:tr w:rsidR="00B810CB" w:rsidRPr="00AD5078" w14:paraId="53995E67" w14:textId="77777777" w:rsidTr="004C741C">
        <w:trPr>
          <w:trHeight w:val="303"/>
          <w:jc w:val="center"/>
        </w:trPr>
        <w:tc>
          <w:tcPr>
            <w:tcW w:w="1016" w:type="dxa"/>
          </w:tcPr>
          <w:p w14:paraId="2488E01A" w14:textId="77777777" w:rsidR="00B810CB" w:rsidRPr="00AD5078" w:rsidRDefault="00B810CB" w:rsidP="004C741C">
            <w:pPr>
              <w:jc w:val="both"/>
              <w:rPr>
                <w:rFonts w:ascii="Aptos" w:eastAsia="Times New Roman" w:hAnsi="Aptos" w:cs="Times New Roman"/>
                <w:b/>
                <w:bCs/>
                <w:sz w:val="24"/>
                <w:szCs w:val="24"/>
                <w:lang w:val="es-ES_tradnl"/>
              </w:rPr>
            </w:pPr>
            <w:r w:rsidRPr="00AD5078">
              <w:rPr>
                <w:rFonts w:ascii="Aptos" w:eastAsia="Times New Roman" w:hAnsi="Aptos" w:cs="Times New Roman"/>
                <w:b/>
                <w:bCs/>
                <w:sz w:val="24"/>
                <w:szCs w:val="24"/>
                <w:lang w:val="es-ES_tradnl"/>
              </w:rPr>
              <w:t>18</w:t>
            </w:r>
          </w:p>
        </w:tc>
        <w:tc>
          <w:tcPr>
            <w:tcW w:w="7484" w:type="dxa"/>
          </w:tcPr>
          <w:p w14:paraId="320A1EB0" w14:textId="77777777" w:rsidR="00B810CB" w:rsidRPr="00AD5078" w:rsidRDefault="00B810CB" w:rsidP="004C741C">
            <w:pPr>
              <w:spacing w:after="0" w:line="240" w:lineRule="auto"/>
              <w:jc w:val="both"/>
              <w:rPr>
                <w:rFonts w:ascii="Aptos" w:eastAsia="Times New Roman" w:hAnsi="Aptos" w:cs="Times New Roman"/>
                <w:sz w:val="24"/>
                <w:szCs w:val="24"/>
                <w:lang w:val="es-ES_tradnl"/>
              </w:rPr>
            </w:pPr>
            <w:r w:rsidRPr="00AD5078">
              <w:rPr>
                <w:rFonts w:ascii="Aptos" w:eastAsia="Times New Roman" w:hAnsi="Aptos" w:cs="Times New Roman"/>
                <w:b/>
                <w:bCs/>
                <w:sz w:val="24"/>
                <w:szCs w:val="24"/>
                <w:lang w:val="es-ES_tradnl"/>
              </w:rPr>
              <w:t xml:space="preserve">Fomento e incentivos para fertilizantes sostenibles a partir de hidrógeno bajas emisiones. </w:t>
            </w:r>
            <w:r w:rsidRPr="00AD5078">
              <w:rPr>
                <w:rFonts w:ascii="Aptos" w:eastAsia="Times New Roman" w:hAnsi="Aptos" w:cs="Times New Roman"/>
                <w:sz w:val="24"/>
                <w:szCs w:val="24"/>
                <w:lang w:val="es-ES_tradnl"/>
              </w:rPr>
              <w:t>El Gobierno Nacional, a través del Ministerio de Ambiente y Desarrollo Sostenible y el Ministerio de Agricultura y Desarrollo Rural, fomentará el uso de hidrógeno de bajas emisiones para producir amoniaco bajo en emisiones, como insumo para fertilizantes destinados a la regeneración de suelos, la mejora de la nutrición vegetal y la promoción de insumos agropecuarios nitrogenados. Asimismo, las inversiones en bienes, equipos y maquinaria para la producción, almacenamiento y distribución de fertilizantes como sales potásicas, fosfato de amonio, amoniaco bajo en emisiones y urea a partir de hidrógeno de bajas emisiones serán elegibles para los incentivos tributarios establecidos en las Leyes 1715 de 2014 y 2099 de 2021, o las disposiciones legales que las sustituyan, con el fin de fortalecer la producción nacional, reducir la dependencia de mercados internacionales y promover la sostenibilidad del sector agropecuario.</w:t>
            </w:r>
          </w:p>
          <w:p w14:paraId="4948063A" w14:textId="77777777" w:rsidR="00B810CB" w:rsidRPr="00AD5078" w:rsidRDefault="00B810CB" w:rsidP="004C741C">
            <w:pPr>
              <w:jc w:val="both"/>
              <w:rPr>
                <w:rFonts w:ascii="Aptos" w:eastAsia="Times New Roman" w:hAnsi="Aptos" w:cs="Times New Roman"/>
                <w:sz w:val="24"/>
                <w:szCs w:val="24"/>
                <w:lang w:val="es-ES_tradnl"/>
              </w:rPr>
            </w:pPr>
          </w:p>
        </w:tc>
        <w:tc>
          <w:tcPr>
            <w:tcW w:w="3402" w:type="dxa"/>
            <w:shd w:val="clear" w:color="auto" w:fill="FFFFFF" w:themeFill="background1"/>
          </w:tcPr>
          <w:p w14:paraId="6B23B310" w14:textId="77777777" w:rsidR="00B810CB" w:rsidRPr="00AD5078" w:rsidRDefault="00B810CB" w:rsidP="004C741C">
            <w:pPr>
              <w:spacing w:after="0"/>
              <w:jc w:val="both"/>
              <w:rPr>
                <w:rFonts w:ascii="Aptos" w:eastAsia="Times New Roman" w:hAnsi="Aptos" w:cs="Times New Roman"/>
                <w:sz w:val="24"/>
                <w:szCs w:val="24"/>
                <w:lang w:val="es-ES_tradnl"/>
              </w:rPr>
            </w:pPr>
            <w:r w:rsidRPr="00AD5078">
              <w:rPr>
                <w:rFonts w:ascii="Aptos" w:eastAsia="Times New Roman" w:hAnsi="Aptos" w:cs="Times New Roman"/>
                <w:sz w:val="24"/>
                <w:szCs w:val="24"/>
                <w:lang w:val="es-ES_tradnl"/>
              </w:rPr>
              <w:t xml:space="preserve">Teniendo en cuenta la dinámica actual para la postulación de proyectos a incentivos tributarios contemplados en leyes 1715 de 2014 y 2099 de 2021, los cuales se inscriben dentro de las competencias del sector minero-energético, y a las cuales se realiza la evaluación técnica de la solicitud por parte de la UPME, </w:t>
            </w:r>
            <w:r w:rsidRPr="00AD5078">
              <w:rPr>
                <w:rFonts w:ascii="Aptos" w:eastAsia="Times New Roman" w:hAnsi="Aptos" w:cs="Times New Roman"/>
                <w:b/>
                <w:bCs/>
                <w:sz w:val="24"/>
                <w:szCs w:val="24"/>
                <w:u w:val="single"/>
                <w:lang w:val="es-ES_tradnl"/>
              </w:rPr>
              <w:t>se sugiere realizar revisión del artículo e indicar la entidad responsable de la evaluación de las solicitudes para incentivos de proyectos</w:t>
            </w:r>
            <w:r w:rsidRPr="00AD5078">
              <w:rPr>
                <w:rFonts w:ascii="Aptos" w:eastAsia="Times New Roman" w:hAnsi="Aptos" w:cs="Times New Roman"/>
                <w:sz w:val="24"/>
                <w:szCs w:val="24"/>
                <w:lang w:val="es-ES_tradnl"/>
              </w:rPr>
              <w:t xml:space="preserve"> que comprenden inversiones en bienes, equipos y maquinaria para la producción, almacenamiento y distribución de fertilizantes </w:t>
            </w:r>
            <w:r w:rsidRPr="00AD5078">
              <w:rPr>
                <w:rFonts w:ascii="Aptos" w:eastAsia="Times New Roman" w:hAnsi="Aptos" w:cs="Times New Roman"/>
                <w:sz w:val="24"/>
                <w:szCs w:val="24"/>
                <w:lang w:val="es-ES_tradnl"/>
              </w:rPr>
              <w:lastRenderedPageBreak/>
              <w:t xml:space="preserve">como sales potásicas, fosfato de amonio, amoniaco bajo en emisiones y urea a partir de hidrógeno de bajas emisiones.  </w:t>
            </w:r>
          </w:p>
        </w:tc>
      </w:tr>
      <w:tr w:rsidR="00B810CB" w:rsidRPr="00AD5078" w14:paraId="10A78F85" w14:textId="77777777" w:rsidTr="004C741C">
        <w:trPr>
          <w:trHeight w:val="303"/>
          <w:jc w:val="center"/>
        </w:trPr>
        <w:tc>
          <w:tcPr>
            <w:tcW w:w="1016" w:type="dxa"/>
          </w:tcPr>
          <w:p w14:paraId="3DC77D58" w14:textId="77777777" w:rsidR="00B810CB" w:rsidRPr="00AD5078" w:rsidRDefault="00B810CB" w:rsidP="004C741C">
            <w:pPr>
              <w:jc w:val="both"/>
              <w:rPr>
                <w:rFonts w:ascii="Aptos" w:eastAsia="Times New Roman" w:hAnsi="Aptos" w:cs="Times New Roman"/>
                <w:b/>
                <w:bCs/>
                <w:sz w:val="24"/>
                <w:szCs w:val="24"/>
                <w:lang w:val="es-ES_tradnl"/>
              </w:rPr>
            </w:pPr>
            <w:r w:rsidRPr="00AD5078">
              <w:rPr>
                <w:rFonts w:ascii="Aptos" w:eastAsia="Times New Roman" w:hAnsi="Aptos" w:cs="Times New Roman"/>
                <w:b/>
                <w:bCs/>
                <w:sz w:val="24"/>
                <w:szCs w:val="24"/>
                <w:lang w:val="es-ES_tradnl"/>
              </w:rPr>
              <w:lastRenderedPageBreak/>
              <w:t>19</w:t>
            </w:r>
          </w:p>
        </w:tc>
        <w:tc>
          <w:tcPr>
            <w:tcW w:w="7484" w:type="dxa"/>
          </w:tcPr>
          <w:p w14:paraId="29207056" w14:textId="77777777" w:rsidR="00B810CB" w:rsidRPr="00AD5078" w:rsidRDefault="00B810CB" w:rsidP="004C741C">
            <w:pPr>
              <w:spacing w:after="0" w:line="240" w:lineRule="auto"/>
              <w:jc w:val="both"/>
              <w:rPr>
                <w:rFonts w:ascii="Aptos" w:eastAsia="Times New Roman" w:hAnsi="Aptos" w:cs="Times New Roman"/>
                <w:sz w:val="24"/>
                <w:szCs w:val="24"/>
                <w:lang w:val="es-ES_tradnl"/>
              </w:rPr>
            </w:pPr>
            <w:r w:rsidRPr="00AD5078">
              <w:rPr>
                <w:rFonts w:ascii="Aptos" w:eastAsia="Times New Roman" w:hAnsi="Aptos" w:cs="Times New Roman"/>
                <w:b/>
                <w:bCs/>
                <w:sz w:val="24"/>
                <w:szCs w:val="24"/>
                <w:lang w:val="es-ES_tradnl"/>
              </w:rPr>
              <w:t xml:space="preserve">Programa del Agua como vector clave en el desarrollo del hidrógeno en Colombia. </w:t>
            </w:r>
            <w:r w:rsidRPr="00AD5078">
              <w:rPr>
                <w:rFonts w:ascii="Aptos" w:eastAsia="Times New Roman" w:hAnsi="Aptos" w:cs="Times New Roman"/>
                <w:sz w:val="24"/>
                <w:szCs w:val="24"/>
                <w:lang w:val="es-ES_tradnl"/>
              </w:rPr>
              <w:t>El Gobierno nacional a través del Ministerio de Ambiente y Desarrollo Sostenible, desarrollará planes encaminados a obtener y proteger el recurso hídrico para el desarrollo de actividades conexas, complementarias o necesarias para la materialización del objeto de la presente Ley, garantizando la protección del recurso de consumo humano, el agua neutralidad y la economía circular dentro de las industrias del mercado concerniente, en todo el territorio nacional.</w:t>
            </w:r>
          </w:p>
          <w:p w14:paraId="5C826523" w14:textId="77777777" w:rsidR="00B810CB" w:rsidRPr="00AD5078" w:rsidRDefault="00B810CB" w:rsidP="004C741C">
            <w:pPr>
              <w:jc w:val="both"/>
              <w:rPr>
                <w:rFonts w:ascii="Aptos" w:eastAsia="Times New Roman" w:hAnsi="Aptos" w:cs="Times New Roman"/>
                <w:sz w:val="24"/>
                <w:szCs w:val="24"/>
                <w:lang w:val="es-ES_tradnl"/>
              </w:rPr>
            </w:pPr>
          </w:p>
        </w:tc>
        <w:tc>
          <w:tcPr>
            <w:tcW w:w="3402" w:type="dxa"/>
          </w:tcPr>
          <w:p w14:paraId="116EDE03" w14:textId="77777777" w:rsidR="00B810CB" w:rsidRPr="00AD5078" w:rsidRDefault="00B810CB" w:rsidP="004C741C">
            <w:pPr>
              <w:spacing w:after="0"/>
              <w:jc w:val="both"/>
              <w:rPr>
                <w:rFonts w:ascii="Aptos" w:eastAsia="Times New Roman" w:hAnsi="Aptos" w:cs="Times New Roman"/>
                <w:sz w:val="24"/>
                <w:szCs w:val="24"/>
                <w:lang w:val="es-ES_tradnl"/>
              </w:rPr>
            </w:pPr>
            <w:r w:rsidRPr="00AD5078">
              <w:rPr>
                <w:rFonts w:ascii="Aptos" w:eastAsia="Times New Roman" w:hAnsi="Aptos" w:cs="Times New Roman"/>
                <w:sz w:val="24"/>
                <w:szCs w:val="24"/>
                <w:lang w:val="es-ES_tradnl"/>
              </w:rPr>
              <w:t>Sin comentarios</w:t>
            </w:r>
          </w:p>
          <w:p w14:paraId="6547DAF3" w14:textId="77777777" w:rsidR="00B810CB" w:rsidRPr="00AD5078" w:rsidRDefault="00B810CB" w:rsidP="004C741C">
            <w:pPr>
              <w:spacing w:after="0"/>
              <w:jc w:val="both"/>
              <w:rPr>
                <w:rFonts w:ascii="Aptos" w:eastAsia="Times New Roman" w:hAnsi="Aptos" w:cs="Times New Roman"/>
                <w:b/>
                <w:bCs/>
                <w:sz w:val="24"/>
                <w:szCs w:val="24"/>
                <w:highlight w:val="yellow"/>
                <w:u w:val="single"/>
                <w:lang w:val="es-ES_tradnl"/>
              </w:rPr>
            </w:pPr>
          </w:p>
        </w:tc>
      </w:tr>
      <w:tr w:rsidR="00B810CB" w:rsidRPr="00AD5078" w14:paraId="034F0149" w14:textId="77777777" w:rsidTr="004C741C">
        <w:trPr>
          <w:trHeight w:val="303"/>
          <w:jc w:val="center"/>
        </w:trPr>
        <w:tc>
          <w:tcPr>
            <w:tcW w:w="1016" w:type="dxa"/>
          </w:tcPr>
          <w:p w14:paraId="0739A2BC" w14:textId="77777777" w:rsidR="00B810CB" w:rsidRPr="00AD5078" w:rsidRDefault="00B810CB" w:rsidP="004C741C">
            <w:pPr>
              <w:jc w:val="both"/>
              <w:rPr>
                <w:rFonts w:ascii="Aptos" w:eastAsia="Times New Roman" w:hAnsi="Aptos" w:cs="Times New Roman"/>
                <w:b/>
                <w:bCs/>
                <w:sz w:val="24"/>
                <w:szCs w:val="24"/>
                <w:lang w:val="es-ES_tradnl"/>
              </w:rPr>
            </w:pPr>
            <w:r w:rsidRPr="00AD5078">
              <w:rPr>
                <w:rFonts w:ascii="Aptos" w:eastAsia="Times New Roman" w:hAnsi="Aptos" w:cs="Times New Roman"/>
                <w:b/>
                <w:bCs/>
                <w:sz w:val="24"/>
                <w:szCs w:val="24"/>
                <w:lang w:val="es-ES_tradnl"/>
              </w:rPr>
              <w:t>20</w:t>
            </w:r>
          </w:p>
        </w:tc>
        <w:tc>
          <w:tcPr>
            <w:tcW w:w="7484" w:type="dxa"/>
          </w:tcPr>
          <w:p w14:paraId="4924A95D" w14:textId="77777777" w:rsidR="00B810CB" w:rsidRPr="00AD5078" w:rsidRDefault="00B810CB" w:rsidP="004C741C">
            <w:pPr>
              <w:jc w:val="both"/>
              <w:rPr>
                <w:rFonts w:ascii="Aptos" w:eastAsia="Times New Roman" w:hAnsi="Aptos" w:cs="Times New Roman"/>
                <w:sz w:val="24"/>
                <w:szCs w:val="24"/>
                <w:lang w:val="es-ES_tradnl"/>
              </w:rPr>
            </w:pPr>
            <w:r w:rsidRPr="00AD5078">
              <w:rPr>
                <w:rFonts w:ascii="Aptos" w:eastAsia="Times New Roman" w:hAnsi="Aptos" w:cs="Times New Roman"/>
                <w:b/>
                <w:bCs/>
                <w:sz w:val="24"/>
                <w:szCs w:val="24"/>
                <w:lang w:val="es-ES_tradnl"/>
              </w:rPr>
              <w:t xml:space="preserve">Declaración de Interés Nacional y Estratégico. </w:t>
            </w:r>
            <w:r w:rsidRPr="00AD5078">
              <w:rPr>
                <w:rFonts w:ascii="Aptos" w:eastAsia="Times New Roman" w:hAnsi="Aptos" w:cs="Times New Roman"/>
                <w:sz w:val="24"/>
                <w:szCs w:val="24"/>
                <w:lang w:val="es-ES_tradnl"/>
              </w:rPr>
              <w:t>Se declara de interés nacional y estratégico para el desarrollo económico, social y ambiental del país el desarrollo del hidrógeno verde y de bajas emisiones en Colombia.</w:t>
            </w:r>
          </w:p>
        </w:tc>
        <w:tc>
          <w:tcPr>
            <w:tcW w:w="3402" w:type="dxa"/>
          </w:tcPr>
          <w:p w14:paraId="1E822EED" w14:textId="77777777" w:rsidR="00B810CB" w:rsidRPr="00AD5078" w:rsidRDefault="00B810CB" w:rsidP="004C741C">
            <w:pPr>
              <w:jc w:val="both"/>
              <w:rPr>
                <w:rFonts w:ascii="Aptos" w:eastAsia="Times New Roman" w:hAnsi="Aptos" w:cs="Times New Roman"/>
                <w:sz w:val="24"/>
                <w:szCs w:val="24"/>
                <w:lang w:val="es-ES_tradnl"/>
              </w:rPr>
            </w:pPr>
            <w:r w:rsidRPr="00AD5078">
              <w:rPr>
                <w:rFonts w:ascii="Aptos" w:eastAsia="Times New Roman" w:hAnsi="Aptos" w:cs="Times New Roman"/>
                <w:sz w:val="24"/>
                <w:szCs w:val="24"/>
                <w:lang w:val="es-ES_tradnl"/>
              </w:rPr>
              <w:t>Sin modificaciones</w:t>
            </w:r>
          </w:p>
        </w:tc>
      </w:tr>
      <w:tr w:rsidR="00B810CB" w:rsidRPr="00AD5078" w14:paraId="428721AB" w14:textId="77777777" w:rsidTr="004C741C">
        <w:trPr>
          <w:trHeight w:val="303"/>
          <w:jc w:val="center"/>
        </w:trPr>
        <w:tc>
          <w:tcPr>
            <w:tcW w:w="1016" w:type="dxa"/>
          </w:tcPr>
          <w:p w14:paraId="08F0F011" w14:textId="77777777" w:rsidR="00B810CB" w:rsidRPr="00AD5078" w:rsidRDefault="00B810CB" w:rsidP="004C741C">
            <w:pPr>
              <w:jc w:val="both"/>
              <w:rPr>
                <w:rFonts w:ascii="Aptos" w:eastAsia="Times New Roman" w:hAnsi="Aptos" w:cs="Times New Roman"/>
                <w:b/>
                <w:bCs/>
                <w:sz w:val="24"/>
                <w:szCs w:val="24"/>
                <w:lang w:val="es-ES_tradnl"/>
              </w:rPr>
            </w:pPr>
            <w:r w:rsidRPr="00AD5078">
              <w:rPr>
                <w:rFonts w:ascii="Aptos" w:eastAsia="Times New Roman" w:hAnsi="Aptos" w:cs="Times New Roman"/>
                <w:b/>
                <w:bCs/>
                <w:sz w:val="24"/>
                <w:szCs w:val="24"/>
                <w:lang w:val="es-ES_tradnl"/>
              </w:rPr>
              <w:t>21</w:t>
            </w:r>
          </w:p>
        </w:tc>
        <w:tc>
          <w:tcPr>
            <w:tcW w:w="7484" w:type="dxa"/>
          </w:tcPr>
          <w:p w14:paraId="1E36658A" w14:textId="77777777" w:rsidR="00B810CB" w:rsidRPr="00AD5078" w:rsidRDefault="00B810CB" w:rsidP="004C741C">
            <w:pPr>
              <w:jc w:val="both"/>
              <w:rPr>
                <w:rFonts w:ascii="Aptos" w:eastAsia="Times New Roman" w:hAnsi="Aptos" w:cs="Times New Roman"/>
                <w:sz w:val="24"/>
                <w:szCs w:val="24"/>
                <w:lang w:val="es-ES_tradnl"/>
              </w:rPr>
            </w:pPr>
            <w:r w:rsidRPr="00AD5078">
              <w:rPr>
                <w:rFonts w:ascii="Aptos" w:eastAsia="Times New Roman" w:hAnsi="Aptos" w:cs="Times New Roman"/>
                <w:sz w:val="24"/>
                <w:szCs w:val="24"/>
                <w:lang w:val="es-ES_tradnl"/>
              </w:rPr>
              <w:t>Cooperación internacional y Coordinación Interinstitucional para el Ecosistema del Hidrógeno. El Departamento Nacional de Planeación en colaboración con el Ministerio de Minas y Energía, el Ministerio de Comercio, Industria y Turismo, el Ministerio de Relaciones Exteriores, y el Ministerio de Transporte, mediante los distintos mecanismos de cooperación deberá canalizar la disponibilidad de recursos y de programas de financiación a los distintos agentes de la cadena de valor del hidrógeno, con el fin de desarrollar el encadenamiento productivo, incentivar el ecosistema del hidrógeno en el país y promover la integración de Colombia en la economía global del hidrógeno. El destino de los recursos a su vez deberá facilitar el desarrollo de proyectos en sus fases de conceptualización, diseño y gestión haciendo extensivo la financiación a la adopción de equipos, tecnologías y dispositivos</w:t>
            </w:r>
            <w:r w:rsidRPr="00AD5078">
              <w:rPr>
                <w:rFonts w:ascii="Aptos" w:eastAsia="Times New Roman" w:hAnsi="Aptos" w:cs="Times New Roman"/>
                <w:spacing w:val="-3"/>
                <w:sz w:val="24"/>
                <w:szCs w:val="24"/>
                <w:lang w:val="es-ES_tradnl"/>
              </w:rPr>
              <w:t xml:space="preserve"> </w:t>
            </w:r>
            <w:r w:rsidRPr="00AD5078">
              <w:rPr>
                <w:rFonts w:ascii="Aptos" w:eastAsia="Times New Roman" w:hAnsi="Aptos" w:cs="Times New Roman"/>
                <w:sz w:val="24"/>
                <w:szCs w:val="24"/>
                <w:lang w:val="es-ES_tradnl"/>
              </w:rPr>
              <w:t>requeridos</w:t>
            </w:r>
            <w:r w:rsidRPr="00AD5078">
              <w:rPr>
                <w:rFonts w:ascii="Aptos" w:eastAsia="Times New Roman" w:hAnsi="Aptos" w:cs="Times New Roman"/>
                <w:spacing w:val="-3"/>
                <w:sz w:val="24"/>
                <w:szCs w:val="24"/>
                <w:lang w:val="es-ES_tradnl"/>
              </w:rPr>
              <w:t xml:space="preserve"> </w:t>
            </w:r>
            <w:r w:rsidRPr="00AD5078">
              <w:rPr>
                <w:rFonts w:ascii="Aptos" w:eastAsia="Times New Roman" w:hAnsi="Aptos" w:cs="Times New Roman"/>
                <w:sz w:val="24"/>
                <w:szCs w:val="24"/>
                <w:lang w:val="es-ES_tradnl"/>
              </w:rPr>
              <w:t>para</w:t>
            </w:r>
            <w:r w:rsidRPr="00AD5078">
              <w:rPr>
                <w:rFonts w:ascii="Aptos" w:eastAsia="Times New Roman" w:hAnsi="Aptos" w:cs="Times New Roman"/>
                <w:spacing w:val="-3"/>
                <w:sz w:val="24"/>
                <w:szCs w:val="24"/>
                <w:lang w:val="es-ES_tradnl"/>
              </w:rPr>
              <w:t xml:space="preserve"> </w:t>
            </w:r>
            <w:r w:rsidRPr="00AD5078">
              <w:rPr>
                <w:rFonts w:ascii="Aptos" w:eastAsia="Times New Roman" w:hAnsi="Aptos" w:cs="Times New Roman"/>
                <w:sz w:val="24"/>
                <w:szCs w:val="24"/>
                <w:lang w:val="es-ES_tradnl"/>
              </w:rPr>
              <w:t>la</w:t>
            </w:r>
            <w:r w:rsidRPr="00AD5078">
              <w:rPr>
                <w:rFonts w:ascii="Aptos" w:eastAsia="Times New Roman" w:hAnsi="Aptos" w:cs="Times New Roman"/>
                <w:spacing w:val="-3"/>
                <w:sz w:val="24"/>
                <w:szCs w:val="24"/>
                <w:lang w:val="es-ES_tradnl"/>
              </w:rPr>
              <w:t xml:space="preserve"> </w:t>
            </w:r>
            <w:r w:rsidRPr="00AD5078">
              <w:rPr>
                <w:rFonts w:ascii="Aptos" w:eastAsia="Times New Roman" w:hAnsi="Aptos" w:cs="Times New Roman"/>
                <w:sz w:val="24"/>
                <w:szCs w:val="24"/>
                <w:lang w:val="es-ES_tradnl"/>
              </w:rPr>
              <w:t>producción</w:t>
            </w:r>
            <w:r w:rsidRPr="00AD5078">
              <w:rPr>
                <w:rFonts w:ascii="Aptos" w:eastAsia="Times New Roman" w:hAnsi="Aptos" w:cs="Times New Roman"/>
                <w:spacing w:val="-3"/>
                <w:sz w:val="24"/>
                <w:szCs w:val="24"/>
                <w:lang w:val="es-ES_tradnl"/>
              </w:rPr>
              <w:t xml:space="preserve"> </w:t>
            </w:r>
            <w:r w:rsidRPr="00AD5078">
              <w:rPr>
                <w:rFonts w:ascii="Aptos" w:eastAsia="Times New Roman" w:hAnsi="Aptos" w:cs="Times New Roman"/>
                <w:sz w:val="24"/>
                <w:szCs w:val="24"/>
                <w:lang w:val="es-ES_tradnl"/>
              </w:rPr>
              <w:t>y</w:t>
            </w:r>
            <w:r w:rsidRPr="00AD5078">
              <w:rPr>
                <w:rFonts w:ascii="Aptos" w:eastAsia="Times New Roman" w:hAnsi="Aptos" w:cs="Times New Roman"/>
                <w:spacing w:val="-3"/>
                <w:sz w:val="24"/>
                <w:szCs w:val="24"/>
                <w:lang w:val="es-ES_tradnl"/>
              </w:rPr>
              <w:t xml:space="preserve"> </w:t>
            </w:r>
            <w:r w:rsidRPr="00AD5078">
              <w:rPr>
                <w:rFonts w:ascii="Aptos" w:eastAsia="Times New Roman" w:hAnsi="Aptos" w:cs="Times New Roman"/>
                <w:sz w:val="24"/>
                <w:szCs w:val="24"/>
                <w:lang w:val="es-ES_tradnl"/>
              </w:rPr>
              <w:t>el consumo del hidrógeno, la exportación, almacenamiento, en puertos o buques, transporte a bordo de buques, poliductos y tuberías del H2 y sus derivados. Adicionalmente estos pro</w:t>
            </w:r>
            <w:r w:rsidRPr="00AD5078">
              <w:rPr>
                <w:rFonts w:ascii="Aptos" w:eastAsia="Times New Roman" w:hAnsi="Aptos" w:cs="Times New Roman"/>
                <w:sz w:val="24"/>
                <w:szCs w:val="24"/>
                <w:lang w:val="es-ES_tradnl"/>
              </w:rPr>
              <w:lastRenderedPageBreak/>
              <w:t>gramas deberán complementarse con mecanismos para la transferencia del conocimiento técnico, las mejores prácticas</w:t>
            </w:r>
            <w:r w:rsidRPr="00AD5078">
              <w:rPr>
                <w:rFonts w:ascii="Aptos" w:eastAsia="Times New Roman" w:hAnsi="Aptos" w:cs="Times New Roman"/>
                <w:spacing w:val="-3"/>
                <w:sz w:val="24"/>
                <w:szCs w:val="24"/>
                <w:lang w:val="es-ES_tradnl"/>
              </w:rPr>
              <w:t xml:space="preserve"> </w:t>
            </w:r>
            <w:r w:rsidRPr="00AD5078">
              <w:rPr>
                <w:rFonts w:ascii="Aptos" w:eastAsia="Times New Roman" w:hAnsi="Aptos" w:cs="Times New Roman"/>
                <w:sz w:val="24"/>
                <w:szCs w:val="24"/>
                <w:lang w:val="es-ES_tradnl"/>
              </w:rPr>
              <w:t>internacionales,</w:t>
            </w:r>
            <w:r w:rsidRPr="00AD5078">
              <w:rPr>
                <w:rFonts w:ascii="Aptos" w:eastAsia="Times New Roman" w:hAnsi="Aptos" w:cs="Times New Roman"/>
                <w:spacing w:val="-3"/>
                <w:sz w:val="24"/>
                <w:szCs w:val="24"/>
                <w:lang w:val="es-ES_tradnl"/>
              </w:rPr>
              <w:t xml:space="preserve"> </w:t>
            </w:r>
            <w:r w:rsidRPr="00AD5078">
              <w:rPr>
                <w:rFonts w:ascii="Aptos" w:eastAsia="Times New Roman" w:hAnsi="Aptos" w:cs="Times New Roman"/>
                <w:sz w:val="24"/>
                <w:szCs w:val="24"/>
                <w:lang w:val="es-ES_tradnl"/>
              </w:rPr>
              <w:t>la certificación de tecnologías y procesos relacionados con el hidrógeno, la socialización de los beneficios</w:t>
            </w:r>
            <w:r w:rsidRPr="00AD5078">
              <w:rPr>
                <w:rFonts w:ascii="Aptos" w:eastAsia="Times New Roman" w:hAnsi="Aptos" w:cs="Times New Roman"/>
                <w:spacing w:val="-2"/>
                <w:sz w:val="24"/>
                <w:szCs w:val="24"/>
                <w:lang w:val="es-ES_tradnl"/>
              </w:rPr>
              <w:t xml:space="preserve"> </w:t>
            </w:r>
            <w:r w:rsidRPr="00AD5078">
              <w:rPr>
                <w:rFonts w:ascii="Aptos" w:eastAsia="Times New Roman" w:hAnsi="Aptos" w:cs="Times New Roman"/>
                <w:sz w:val="24"/>
                <w:szCs w:val="24"/>
                <w:lang w:val="es-ES_tradnl"/>
              </w:rPr>
              <w:t>y</w:t>
            </w:r>
            <w:r w:rsidRPr="00AD5078">
              <w:rPr>
                <w:rFonts w:ascii="Aptos" w:eastAsia="Times New Roman" w:hAnsi="Aptos" w:cs="Times New Roman"/>
                <w:spacing w:val="-2"/>
                <w:sz w:val="24"/>
                <w:szCs w:val="24"/>
                <w:lang w:val="es-ES_tradnl"/>
              </w:rPr>
              <w:t xml:space="preserve"> </w:t>
            </w:r>
            <w:r w:rsidRPr="00AD5078">
              <w:rPr>
                <w:rFonts w:ascii="Aptos" w:eastAsia="Times New Roman" w:hAnsi="Aptos" w:cs="Times New Roman"/>
                <w:sz w:val="24"/>
                <w:szCs w:val="24"/>
                <w:lang w:val="es-ES_tradnl"/>
              </w:rPr>
              <w:t>las</w:t>
            </w:r>
            <w:r w:rsidRPr="00AD5078">
              <w:rPr>
                <w:rFonts w:ascii="Aptos" w:eastAsia="Times New Roman" w:hAnsi="Aptos" w:cs="Times New Roman"/>
                <w:spacing w:val="-2"/>
                <w:sz w:val="24"/>
                <w:szCs w:val="24"/>
                <w:lang w:val="es-ES_tradnl"/>
              </w:rPr>
              <w:t xml:space="preserve"> </w:t>
            </w:r>
            <w:r w:rsidRPr="00AD5078">
              <w:rPr>
                <w:rFonts w:ascii="Aptos" w:eastAsia="Times New Roman" w:hAnsi="Aptos" w:cs="Times New Roman"/>
                <w:sz w:val="24"/>
                <w:szCs w:val="24"/>
                <w:lang w:val="es-ES_tradnl"/>
              </w:rPr>
              <w:t>condiciones</w:t>
            </w:r>
            <w:r w:rsidRPr="00AD5078">
              <w:rPr>
                <w:rFonts w:ascii="Aptos" w:eastAsia="Times New Roman" w:hAnsi="Aptos" w:cs="Times New Roman"/>
                <w:spacing w:val="-2"/>
                <w:sz w:val="24"/>
                <w:szCs w:val="24"/>
                <w:lang w:val="es-ES_tradnl"/>
              </w:rPr>
              <w:t xml:space="preserve"> </w:t>
            </w:r>
            <w:r w:rsidRPr="00AD5078">
              <w:rPr>
                <w:rFonts w:ascii="Aptos" w:eastAsia="Times New Roman" w:hAnsi="Aptos" w:cs="Times New Roman"/>
                <w:sz w:val="24"/>
                <w:szCs w:val="24"/>
                <w:lang w:val="es-ES_tradnl"/>
              </w:rPr>
              <w:t>de</w:t>
            </w:r>
            <w:r w:rsidRPr="00AD5078">
              <w:rPr>
                <w:rFonts w:ascii="Aptos" w:eastAsia="Times New Roman" w:hAnsi="Aptos" w:cs="Times New Roman"/>
                <w:spacing w:val="-2"/>
                <w:sz w:val="24"/>
                <w:szCs w:val="24"/>
                <w:lang w:val="es-ES_tradnl"/>
              </w:rPr>
              <w:t xml:space="preserve"> </w:t>
            </w:r>
            <w:r w:rsidRPr="00AD5078">
              <w:rPr>
                <w:rFonts w:ascii="Aptos" w:eastAsia="Times New Roman" w:hAnsi="Aptos" w:cs="Times New Roman"/>
                <w:sz w:val="24"/>
                <w:szCs w:val="24"/>
                <w:lang w:val="es-ES_tradnl"/>
              </w:rPr>
              <w:t>uso/aplicación</w:t>
            </w:r>
            <w:r w:rsidRPr="00AD5078">
              <w:rPr>
                <w:rFonts w:ascii="Aptos" w:eastAsia="Times New Roman" w:hAnsi="Aptos" w:cs="Times New Roman"/>
                <w:spacing w:val="-2"/>
                <w:sz w:val="24"/>
                <w:szCs w:val="24"/>
                <w:lang w:val="es-ES_tradnl"/>
              </w:rPr>
              <w:t xml:space="preserve"> </w:t>
            </w:r>
            <w:r w:rsidRPr="00AD5078">
              <w:rPr>
                <w:rFonts w:ascii="Aptos" w:eastAsia="Times New Roman" w:hAnsi="Aptos" w:cs="Times New Roman"/>
                <w:sz w:val="24"/>
                <w:szCs w:val="24"/>
                <w:lang w:val="es-ES_tradnl"/>
              </w:rPr>
              <w:t>de</w:t>
            </w:r>
            <w:r w:rsidRPr="00AD5078">
              <w:rPr>
                <w:rFonts w:ascii="Aptos" w:eastAsia="Times New Roman" w:hAnsi="Aptos" w:cs="Times New Roman"/>
                <w:spacing w:val="-2"/>
                <w:sz w:val="24"/>
                <w:szCs w:val="24"/>
                <w:lang w:val="es-ES_tradnl"/>
              </w:rPr>
              <w:t xml:space="preserve"> </w:t>
            </w:r>
            <w:r w:rsidRPr="00AD5078">
              <w:rPr>
                <w:rFonts w:ascii="Aptos" w:eastAsia="Times New Roman" w:hAnsi="Aptos" w:cs="Times New Roman"/>
                <w:sz w:val="24"/>
                <w:szCs w:val="24"/>
                <w:lang w:val="es-ES_tradnl"/>
              </w:rPr>
              <w:t>estos</w:t>
            </w:r>
            <w:r w:rsidRPr="00AD5078">
              <w:rPr>
                <w:rFonts w:ascii="Aptos" w:eastAsia="Times New Roman" w:hAnsi="Aptos" w:cs="Times New Roman"/>
                <w:spacing w:val="-2"/>
                <w:sz w:val="24"/>
                <w:szCs w:val="24"/>
                <w:lang w:val="es-ES_tradnl"/>
              </w:rPr>
              <w:t xml:space="preserve"> </w:t>
            </w:r>
            <w:r w:rsidRPr="00AD5078">
              <w:rPr>
                <w:rFonts w:ascii="Aptos" w:eastAsia="Times New Roman" w:hAnsi="Aptos" w:cs="Times New Roman"/>
                <w:sz w:val="24"/>
                <w:szCs w:val="24"/>
                <w:lang w:val="es-ES_tradnl"/>
              </w:rPr>
              <w:t>en</w:t>
            </w:r>
            <w:r w:rsidRPr="00AD5078">
              <w:rPr>
                <w:rFonts w:ascii="Aptos" w:eastAsia="Times New Roman" w:hAnsi="Aptos" w:cs="Times New Roman"/>
                <w:spacing w:val="-2"/>
                <w:sz w:val="24"/>
                <w:szCs w:val="24"/>
                <w:lang w:val="es-ES_tradnl"/>
              </w:rPr>
              <w:t xml:space="preserve"> </w:t>
            </w:r>
            <w:r w:rsidRPr="00AD5078">
              <w:rPr>
                <w:rFonts w:ascii="Aptos" w:eastAsia="Times New Roman" w:hAnsi="Aptos" w:cs="Times New Roman"/>
                <w:sz w:val="24"/>
                <w:szCs w:val="24"/>
                <w:lang w:val="es-ES_tradnl"/>
              </w:rPr>
              <w:t>sus distintos centros de consumo.</w:t>
            </w:r>
          </w:p>
        </w:tc>
        <w:tc>
          <w:tcPr>
            <w:tcW w:w="3402" w:type="dxa"/>
          </w:tcPr>
          <w:p w14:paraId="27E233CB" w14:textId="77777777" w:rsidR="00B810CB" w:rsidRPr="00AD5078" w:rsidRDefault="00B810CB" w:rsidP="004C741C">
            <w:pPr>
              <w:jc w:val="both"/>
              <w:rPr>
                <w:rFonts w:ascii="Aptos" w:eastAsia="Times New Roman" w:hAnsi="Aptos" w:cs="Times New Roman"/>
                <w:sz w:val="24"/>
                <w:szCs w:val="24"/>
                <w:lang w:val="es-ES_tradnl"/>
              </w:rPr>
            </w:pPr>
            <w:r w:rsidRPr="00AD5078">
              <w:rPr>
                <w:rFonts w:ascii="Aptos" w:eastAsia="Times New Roman" w:hAnsi="Aptos" w:cs="Times New Roman"/>
                <w:sz w:val="24"/>
                <w:szCs w:val="24"/>
                <w:lang w:val="es-ES_tradnl"/>
              </w:rPr>
              <w:lastRenderedPageBreak/>
              <w:t>Sin modificaciones</w:t>
            </w:r>
          </w:p>
          <w:p w14:paraId="2BE9C714" w14:textId="77777777" w:rsidR="00B810CB" w:rsidRPr="00AD5078" w:rsidRDefault="00B810CB" w:rsidP="004C741C">
            <w:pPr>
              <w:jc w:val="both"/>
              <w:rPr>
                <w:rFonts w:ascii="Aptos" w:eastAsia="Times New Roman" w:hAnsi="Aptos" w:cs="Times New Roman"/>
                <w:sz w:val="24"/>
                <w:szCs w:val="24"/>
                <w:lang w:val="es-ES_tradnl"/>
              </w:rPr>
            </w:pPr>
          </w:p>
        </w:tc>
      </w:tr>
      <w:tr w:rsidR="00B810CB" w:rsidRPr="00AD5078" w14:paraId="488CB4E6" w14:textId="77777777" w:rsidTr="004C741C">
        <w:trPr>
          <w:trHeight w:val="303"/>
          <w:jc w:val="center"/>
        </w:trPr>
        <w:tc>
          <w:tcPr>
            <w:tcW w:w="1016" w:type="dxa"/>
          </w:tcPr>
          <w:p w14:paraId="552385AF" w14:textId="77777777" w:rsidR="00B810CB" w:rsidRPr="00AD5078" w:rsidRDefault="00B810CB" w:rsidP="004C741C">
            <w:pPr>
              <w:jc w:val="both"/>
              <w:rPr>
                <w:rFonts w:ascii="Aptos" w:eastAsia="Times New Roman" w:hAnsi="Aptos" w:cs="Times New Roman"/>
                <w:b/>
                <w:bCs/>
                <w:sz w:val="24"/>
                <w:szCs w:val="24"/>
                <w:lang w:val="es-ES_tradnl"/>
              </w:rPr>
            </w:pPr>
            <w:r w:rsidRPr="00AD5078">
              <w:rPr>
                <w:rFonts w:ascii="Aptos" w:eastAsia="Times New Roman" w:hAnsi="Aptos" w:cs="Times New Roman"/>
                <w:b/>
                <w:bCs/>
                <w:sz w:val="24"/>
                <w:szCs w:val="24"/>
                <w:lang w:val="es-ES_tradnl"/>
              </w:rPr>
              <w:t>22</w:t>
            </w:r>
          </w:p>
        </w:tc>
        <w:tc>
          <w:tcPr>
            <w:tcW w:w="7484" w:type="dxa"/>
          </w:tcPr>
          <w:p w14:paraId="4ECC6397" w14:textId="77777777" w:rsidR="00B810CB" w:rsidRPr="00AD5078" w:rsidRDefault="00B810CB" w:rsidP="004C741C">
            <w:pPr>
              <w:spacing w:after="0" w:line="240" w:lineRule="auto"/>
              <w:jc w:val="both"/>
              <w:rPr>
                <w:rFonts w:ascii="Aptos" w:eastAsia="Times New Roman" w:hAnsi="Aptos" w:cs="Times New Roman"/>
                <w:sz w:val="24"/>
                <w:szCs w:val="24"/>
                <w:lang w:val="es-ES_tradnl"/>
              </w:rPr>
            </w:pPr>
            <w:r w:rsidRPr="00AD5078">
              <w:rPr>
                <w:rFonts w:ascii="Aptos" w:eastAsia="Times New Roman" w:hAnsi="Aptos" w:cs="Times New Roman"/>
                <w:b/>
                <w:bCs/>
                <w:sz w:val="24"/>
                <w:szCs w:val="24"/>
                <w:lang w:val="es-ES_tradnl"/>
              </w:rPr>
              <w:t xml:space="preserve">Fuentes y Mecanismos de Financiación para Proyectos Piloto de Hidrógeno y Tecnologías Afines. </w:t>
            </w:r>
            <w:r w:rsidRPr="00AD5078">
              <w:rPr>
                <w:rFonts w:ascii="Aptos" w:eastAsia="Times New Roman" w:hAnsi="Aptos" w:cs="Times New Roman"/>
                <w:sz w:val="24"/>
                <w:szCs w:val="24"/>
                <w:lang w:val="es-ES_tradnl"/>
              </w:rPr>
              <w:t>El Gobierno nacional promoverá, financiará y apoyará los Proyectos Piloto de Hidrógeno de Bajas Emisiones, sus derivados y combustibles sintéticos de bajas emisiones en todo el territorio nacional, priorizando su implementación en municipios con deficiencias en infraestructura energética, limitada cobertura de servicios públicos esenciales y alta dependencia de combustibles sólidos.</w:t>
            </w:r>
          </w:p>
          <w:p w14:paraId="1215699B" w14:textId="77777777" w:rsidR="00B810CB" w:rsidRPr="00AD5078" w:rsidRDefault="00B810CB" w:rsidP="004C741C">
            <w:pPr>
              <w:spacing w:after="0" w:line="240" w:lineRule="auto"/>
              <w:jc w:val="both"/>
              <w:rPr>
                <w:rFonts w:ascii="Aptos" w:eastAsia="Times New Roman" w:hAnsi="Aptos" w:cs="Times New Roman"/>
                <w:sz w:val="24"/>
                <w:szCs w:val="24"/>
                <w:lang w:val="es-ES_tradnl"/>
              </w:rPr>
            </w:pPr>
            <w:r w:rsidRPr="00AD5078">
              <w:rPr>
                <w:rFonts w:ascii="Aptos" w:eastAsia="Times New Roman" w:hAnsi="Aptos" w:cs="Times New Roman"/>
                <w:sz w:val="24"/>
                <w:szCs w:val="24"/>
                <w:lang w:val="es-ES_tradnl"/>
              </w:rPr>
              <w:t>La financiación se basará en un enfoque diversificado que incluya recursos del presupuesto nacional, instrumentos de organismos multilaterales, inversiones del sector privado e institucional, y colaboraciones público-privadas.</w:t>
            </w:r>
          </w:p>
          <w:p w14:paraId="5A81194D" w14:textId="77777777" w:rsidR="00B810CB" w:rsidRPr="00AD5078" w:rsidRDefault="00B810CB" w:rsidP="004C741C">
            <w:pPr>
              <w:spacing w:after="0" w:line="240" w:lineRule="auto"/>
              <w:jc w:val="both"/>
              <w:rPr>
                <w:rFonts w:ascii="Aptos" w:eastAsia="Times New Roman" w:hAnsi="Aptos" w:cs="Times New Roman"/>
                <w:sz w:val="24"/>
                <w:szCs w:val="24"/>
                <w:lang w:val="es-ES_tradnl"/>
              </w:rPr>
            </w:pPr>
            <w:r w:rsidRPr="00AD5078">
              <w:rPr>
                <w:rFonts w:ascii="Aptos" w:eastAsia="Times New Roman" w:hAnsi="Aptos" w:cs="Times New Roman"/>
                <w:sz w:val="24"/>
                <w:szCs w:val="24"/>
                <w:lang w:val="es-ES_tradnl"/>
              </w:rPr>
              <w:t>Se establecerá un enfoque inclusivo en la selección y ejecución de los Proyectos Piloto, fomentando la colaboración intersectorial.</w:t>
            </w:r>
          </w:p>
          <w:p w14:paraId="25B48F71" w14:textId="77777777" w:rsidR="00B810CB" w:rsidRPr="00AD5078" w:rsidRDefault="00B810CB" w:rsidP="004C741C">
            <w:pPr>
              <w:jc w:val="both"/>
              <w:rPr>
                <w:rFonts w:ascii="Aptos" w:eastAsia="Times New Roman" w:hAnsi="Aptos" w:cs="Times New Roman"/>
                <w:sz w:val="24"/>
                <w:szCs w:val="24"/>
                <w:lang w:val="es-ES_tradnl"/>
              </w:rPr>
            </w:pPr>
          </w:p>
        </w:tc>
        <w:tc>
          <w:tcPr>
            <w:tcW w:w="3402" w:type="dxa"/>
          </w:tcPr>
          <w:p w14:paraId="1AEFAE2E" w14:textId="77777777" w:rsidR="00B810CB" w:rsidRPr="00AD5078" w:rsidRDefault="00B810CB" w:rsidP="004C741C">
            <w:pPr>
              <w:jc w:val="both"/>
              <w:rPr>
                <w:rFonts w:ascii="Aptos" w:eastAsia="Times New Roman" w:hAnsi="Aptos" w:cs="Times New Roman"/>
                <w:sz w:val="24"/>
                <w:szCs w:val="24"/>
                <w:lang w:val="es-ES_tradnl"/>
              </w:rPr>
            </w:pPr>
            <w:r w:rsidRPr="00AD5078">
              <w:rPr>
                <w:rFonts w:ascii="Aptos" w:eastAsia="Times New Roman" w:hAnsi="Aptos" w:cs="Times New Roman"/>
                <w:sz w:val="24"/>
                <w:szCs w:val="24"/>
                <w:lang w:val="es-ES_tradnl"/>
              </w:rPr>
              <w:t>Sin modificaciones</w:t>
            </w:r>
          </w:p>
          <w:p w14:paraId="77F9E32A" w14:textId="77777777" w:rsidR="00B810CB" w:rsidRPr="00AD5078" w:rsidRDefault="00B810CB" w:rsidP="004C741C">
            <w:pPr>
              <w:jc w:val="both"/>
              <w:rPr>
                <w:rFonts w:ascii="Aptos" w:eastAsia="Times New Roman" w:hAnsi="Aptos" w:cs="Times New Roman"/>
                <w:sz w:val="24"/>
                <w:szCs w:val="24"/>
                <w:lang w:val="es-ES_tradnl"/>
              </w:rPr>
            </w:pPr>
          </w:p>
        </w:tc>
      </w:tr>
      <w:tr w:rsidR="00B810CB" w:rsidRPr="00AD5078" w14:paraId="6E1CE5A6" w14:textId="77777777" w:rsidTr="004C741C">
        <w:trPr>
          <w:trHeight w:val="303"/>
          <w:jc w:val="center"/>
        </w:trPr>
        <w:tc>
          <w:tcPr>
            <w:tcW w:w="1016" w:type="dxa"/>
          </w:tcPr>
          <w:p w14:paraId="5904B218" w14:textId="77777777" w:rsidR="00B810CB" w:rsidRPr="00AD5078" w:rsidRDefault="00B810CB" w:rsidP="004C741C">
            <w:pPr>
              <w:jc w:val="both"/>
              <w:rPr>
                <w:rFonts w:ascii="Aptos" w:eastAsia="Times New Roman" w:hAnsi="Aptos" w:cs="Times New Roman"/>
                <w:b/>
                <w:bCs/>
                <w:sz w:val="24"/>
                <w:szCs w:val="24"/>
                <w:lang w:val="es-ES_tradnl"/>
              </w:rPr>
            </w:pPr>
            <w:r w:rsidRPr="00AD5078">
              <w:rPr>
                <w:rFonts w:ascii="Aptos" w:eastAsia="Times New Roman" w:hAnsi="Aptos" w:cs="Times New Roman"/>
                <w:b/>
                <w:bCs/>
                <w:sz w:val="24"/>
                <w:szCs w:val="24"/>
                <w:lang w:val="es-ES_tradnl"/>
              </w:rPr>
              <w:t>23</w:t>
            </w:r>
          </w:p>
        </w:tc>
        <w:tc>
          <w:tcPr>
            <w:tcW w:w="7484" w:type="dxa"/>
          </w:tcPr>
          <w:p w14:paraId="24313B0E" w14:textId="77777777" w:rsidR="00B810CB" w:rsidRPr="00AD5078" w:rsidRDefault="00B810CB" w:rsidP="004C741C">
            <w:pPr>
              <w:jc w:val="both"/>
              <w:rPr>
                <w:rFonts w:ascii="Aptos" w:eastAsia="Times New Roman" w:hAnsi="Aptos" w:cs="Times New Roman"/>
                <w:sz w:val="24"/>
                <w:szCs w:val="24"/>
                <w:lang w:val="es-ES_tradnl"/>
              </w:rPr>
            </w:pPr>
            <w:r w:rsidRPr="00AD5078">
              <w:rPr>
                <w:rFonts w:ascii="Aptos" w:eastAsia="Times New Roman" w:hAnsi="Aptos" w:cs="Times New Roman"/>
                <w:b/>
                <w:bCs/>
                <w:sz w:val="24"/>
                <w:szCs w:val="24"/>
                <w:lang w:val="es-ES_tradnl"/>
              </w:rPr>
              <w:t xml:space="preserve">Sandbox regulatorio de hidrógeno. </w:t>
            </w:r>
            <w:r w:rsidRPr="00AD5078">
              <w:rPr>
                <w:rFonts w:ascii="Aptos" w:eastAsia="Times New Roman" w:hAnsi="Aptos" w:cs="Times New Roman"/>
                <w:sz w:val="24"/>
                <w:szCs w:val="24"/>
                <w:lang w:val="es-ES_tradnl"/>
              </w:rPr>
              <w:t xml:space="preserve">El Ministerio de Minas y Energía establecerá un comité técnico multidisciplinario, integrado por representantes del propio Ministerio, expertos en hidrógeno y representantes de entidades ambientales, con el propósito de recibir y evaluar las solicitudes de iniciativas de hidrógeno en el marco del </w:t>
            </w:r>
            <w:proofErr w:type="spellStart"/>
            <w:r w:rsidRPr="00AD5078">
              <w:rPr>
                <w:rFonts w:ascii="Aptos" w:eastAsia="Times New Roman" w:hAnsi="Aptos" w:cs="Times New Roman"/>
                <w:i/>
                <w:iCs/>
                <w:sz w:val="24"/>
                <w:szCs w:val="24"/>
                <w:lang w:val="es-ES_tradnl"/>
              </w:rPr>
              <w:t>sandbox</w:t>
            </w:r>
            <w:proofErr w:type="spellEnd"/>
            <w:r w:rsidRPr="00AD5078">
              <w:rPr>
                <w:rFonts w:ascii="Aptos" w:eastAsia="Times New Roman" w:hAnsi="Aptos" w:cs="Times New Roman"/>
                <w:i/>
                <w:iCs/>
                <w:sz w:val="24"/>
                <w:szCs w:val="24"/>
                <w:lang w:val="es-ES_tradnl"/>
              </w:rPr>
              <w:t xml:space="preserve"> </w:t>
            </w:r>
            <w:r w:rsidRPr="00AD5078">
              <w:rPr>
                <w:rFonts w:ascii="Aptos" w:eastAsia="Times New Roman" w:hAnsi="Aptos" w:cs="Times New Roman"/>
                <w:sz w:val="24"/>
                <w:szCs w:val="24"/>
                <w:lang w:val="es-ES_tradnl"/>
              </w:rPr>
              <w:t>regulatorio, conforme a la normatividad expedida en la materia.</w:t>
            </w:r>
          </w:p>
        </w:tc>
        <w:tc>
          <w:tcPr>
            <w:tcW w:w="3402" w:type="dxa"/>
          </w:tcPr>
          <w:p w14:paraId="0FB356FD" w14:textId="77777777" w:rsidR="00B810CB" w:rsidRPr="00AD5078" w:rsidRDefault="00B810CB" w:rsidP="004C741C">
            <w:pPr>
              <w:spacing w:before="240" w:after="240"/>
              <w:jc w:val="both"/>
              <w:rPr>
                <w:rFonts w:ascii="Aptos" w:hAnsi="Aptos"/>
                <w:sz w:val="24"/>
                <w:szCs w:val="24"/>
                <w:lang w:val="es-ES_tradnl"/>
              </w:rPr>
            </w:pPr>
            <w:r w:rsidRPr="00AD5078">
              <w:rPr>
                <w:rFonts w:ascii="Aptos" w:eastAsia="Times New Roman" w:hAnsi="Aptos" w:cs="Times New Roman"/>
                <w:sz w:val="24"/>
                <w:szCs w:val="24"/>
                <w:lang w:val="es-ES_tradnl"/>
              </w:rPr>
              <w:t xml:space="preserve">Desde el Ministerio de Minas y Energía se sugiere ajustar la redacción del artículo, teniendo en cuenta que actualmente existe un mecanismo </w:t>
            </w:r>
            <w:r w:rsidRPr="00AD5078">
              <w:rPr>
                <w:rFonts w:ascii="Aptos" w:eastAsia="Times New Roman" w:hAnsi="Aptos" w:cs="Times New Roman"/>
                <w:i/>
                <w:iCs/>
                <w:sz w:val="24"/>
                <w:szCs w:val="24"/>
                <w:lang w:val="es-ES_tradnl"/>
              </w:rPr>
              <w:t>Sandbox</w:t>
            </w:r>
            <w:r w:rsidRPr="00AD5078">
              <w:rPr>
                <w:rFonts w:ascii="Aptos" w:eastAsia="Times New Roman" w:hAnsi="Aptos" w:cs="Times New Roman"/>
                <w:sz w:val="24"/>
                <w:szCs w:val="24"/>
                <w:lang w:val="es-ES_tradnl"/>
              </w:rPr>
              <w:t xml:space="preserve"> en funcionamiento. En ese sentido, resulta necesario armonizar este articulado con el Comité de Entornos Más Competitivos ya establecido, garantizando la integración entre dicha instancia y la propuesta de </w:t>
            </w:r>
            <w:proofErr w:type="spellStart"/>
            <w:r w:rsidRPr="00AD5078">
              <w:rPr>
                <w:rFonts w:ascii="Aptos" w:eastAsia="Times New Roman" w:hAnsi="Aptos" w:cs="Times New Roman"/>
                <w:i/>
                <w:iCs/>
                <w:sz w:val="24"/>
                <w:szCs w:val="24"/>
                <w:lang w:val="es-ES_tradnl"/>
              </w:rPr>
              <w:t>sandbox</w:t>
            </w:r>
            <w:proofErr w:type="spellEnd"/>
            <w:r w:rsidRPr="00AD5078">
              <w:rPr>
                <w:rFonts w:ascii="Aptos" w:eastAsia="Times New Roman" w:hAnsi="Aptos" w:cs="Times New Roman"/>
                <w:sz w:val="24"/>
                <w:szCs w:val="24"/>
                <w:lang w:val="es-ES_tradnl"/>
              </w:rPr>
              <w:t xml:space="preserve"> regulatorio contemplada en el artículo 23.</w:t>
            </w:r>
          </w:p>
        </w:tc>
      </w:tr>
      <w:tr w:rsidR="00B810CB" w:rsidRPr="00AD5078" w14:paraId="220F9173" w14:textId="77777777" w:rsidTr="004C741C">
        <w:trPr>
          <w:trHeight w:val="303"/>
          <w:jc w:val="center"/>
        </w:trPr>
        <w:tc>
          <w:tcPr>
            <w:tcW w:w="1016" w:type="dxa"/>
          </w:tcPr>
          <w:p w14:paraId="65A304EB" w14:textId="77777777" w:rsidR="00B810CB" w:rsidRPr="00AD5078" w:rsidRDefault="00B810CB" w:rsidP="004C741C">
            <w:pPr>
              <w:jc w:val="both"/>
              <w:rPr>
                <w:rFonts w:ascii="Aptos" w:eastAsia="Times New Roman" w:hAnsi="Aptos" w:cs="Times New Roman"/>
                <w:b/>
                <w:bCs/>
                <w:sz w:val="24"/>
                <w:szCs w:val="24"/>
                <w:lang w:val="es-ES_tradnl"/>
              </w:rPr>
            </w:pPr>
            <w:r w:rsidRPr="00AD5078">
              <w:rPr>
                <w:rFonts w:ascii="Aptos" w:eastAsia="Times New Roman" w:hAnsi="Aptos" w:cs="Times New Roman"/>
                <w:b/>
                <w:bCs/>
                <w:sz w:val="24"/>
                <w:szCs w:val="24"/>
                <w:lang w:val="es-ES_tradnl"/>
              </w:rPr>
              <w:lastRenderedPageBreak/>
              <w:t>24</w:t>
            </w:r>
          </w:p>
        </w:tc>
        <w:tc>
          <w:tcPr>
            <w:tcW w:w="7484" w:type="dxa"/>
          </w:tcPr>
          <w:p w14:paraId="3A008FB3" w14:textId="77777777" w:rsidR="00B810CB" w:rsidRPr="00AD5078" w:rsidRDefault="00B810CB" w:rsidP="004C741C">
            <w:pPr>
              <w:spacing w:after="0" w:line="240" w:lineRule="auto"/>
              <w:jc w:val="both"/>
              <w:rPr>
                <w:rFonts w:ascii="Aptos" w:eastAsia="Times New Roman" w:hAnsi="Aptos" w:cs="Times New Roman"/>
                <w:sz w:val="24"/>
                <w:szCs w:val="24"/>
                <w:lang w:val="es-ES_tradnl"/>
              </w:rPr>
            </w:pPr>
            <w:r w:rsidRPr="00AD5078">
              <w:rPr>
                <w:rFonts w:ascii="Aptos" w:eastAsia="Times New Roman" w:hAnsi="Aptos" w:cs="Times New Roman"/>
                <w:b/>
                <w:bCs/>
                <w:sz w:val="24"/>
                <w:szCs w:val="24"/>
                <w:lang w:val="es-ES_tradnl"/>
              </w:rPr>
              <w:t xml:space="preserve">Parámetros y guías para mercados objetivos de hidrógeno de bajas emisiones. </w:t>
            </w:r>
            <w:r w:rsidRPr="00AD5078">
              <w:rPr>
                <w:rFonts w:ascii="Aptos" w:eastAsia="Times New Roman" w:hAnsi="Aptos" w:cs="Times New Roman"/>
                <w:sz w:val="24"/>
                <w:szCs w:val="24"/>
                <w:lang w:val="es-ES_tradnl"/>
              </w:rPr>
              <w:t>Dentro de los dieciocho (18) meses siguientes a la promulgación de la presente ley, el Gobierno nacional en cabeza del Ministerio de Comercio, Industria y Turismo, Ministerio de Minas y Energía y el Ministerio de Ambiente y Desarrollo Sostenible, desarrollará un conjunto de parámetros comunes y guías específicas para los mercados objetivos del hidrógeno de bajas emisiones producido en Colombia. Estos parámetros y guías identificarán los requisitos clave en los principales mercados de exportación, establecerán criterios de calidad y sostenibilidad compatibles con exigencias internacionales, y proporcionarán orientaciones específicas para cada mercado objetivo.</w:t>
            </w:r>
          </w:p>
          <w:p w14:paraId="4295A82F" w14:textId="77777777" w:rsidR="00B810CB" w:rsidRPr="00AD5078" w:rsidRDefault="00B810CB" w:rsidP="004C741C">
            <w:pPr>
              <w:spacing w:after="0" w:line="240" w:lineRule="auto"/>
              <w:jc w:val="both"/>
              <w:rPr>
                <w:rFonts w:ascii="Aptos" w:eastAsia="Times New Roman" w:hAnsi="Aptos" w:cs="Times New Roman"/>
                <w:sz w:val="24"/>
                <w:szCs w:val="24"/>
                <w:lang w:val="es-ES_tradnl"/>
              </w:rPr>
            </w:pPr>
            <w:r w:rsidRPr="00AD5078">
              <w:rPr>
                <w:rFonts w:ascii="Aptos" w:eastAsia="Times New Roman" w:hAnsi="Aptos" w:cs="Times New Roman"/>
                <w:b/>
                <w:bCs/>
                <w:sz w:val="24"/>
                <w:szCs w:val="24"/>
                <w:lang w:val="es-ES_tradnl"/>
              </w:rPr>
              <w:t xml:space="preserve">Parágrafo. </w:t>
            </w:r>
            <w:r w:rsidRPr="00AD5078">
              <w:rPr>
                <w:rFonts w:ascii="Aptos" w:eastAsia="Times New Roman" w:hAnsi="Aptos" w:cs="Times New Roman"/>
                <w:sz w:val="24"/>
                <w:szCs w:val="24"/>
                <w:lang w:val="es-ES_tradnl"/>
              </w:rPr>
              <w:t>Los parámetros y guías deberán promover la armonización con estándares internacionales, facilitando la homologación del hidrógeno colombiano en mercados regionales e internacionales. Se revisarán y actualizarán periódicamente para mantener su relevancia y efectividad en la promoción de las exportaciones de hidrógeno de bajas emisiones de Colombia.</w:t>
            </w:r>
          </w:p>
          <w:p w14:paraId="0261EAF8" w14:textId="77777777" w:rsidR="00B810CB" w:rsidRPr="00AD5078" w:rsidRDefault="00B810CB" w:rsidP="004C741C">
            <w:pPr>
              <w:jc w:val="both"/>
              <w:rPr>
                <w:rFonts w:ascii="Aptos" w:eastAsia="Times New Roman" w:hAnsi="Aptos" w:cs="Times New Roman"/>
                <w:sz w:val="24"/>
                <w:szCs w:val="24"/>
                <w:lang w:val="es-ES_tradnl"/>
              </w:rPr>
            </w:pPr>
          </w:p>
        </w:tc>
        <w:tc>
          <w:tcPr>
            <w:tcW w:w="3402" w:type="dxa"/>
          </w:tcPr>
          <w:p w14:paraId="017FE20C" w14:textId="77777777" w:rsidR="00B810CB" w:rsidRPr="00AD5078" w:rsidRDefault="00B810CB" w:rsidP="004C741C">
            <w:pPr>
              <w:jc w:val="both"/>
              <w:rPr>
                <w:rFonts w:ascii="Aptos" w:eastAsia="Times New Roman" w:hAnsi="Aptos" w:cs="Times New Roman"/>
                <w:sz w:val="24"/>
                <w:szCs w:val="24"/>
                <w:lang w:val="es-ES_tradnl"/>
              </w:rPr>
            </w:pPr>
          </w:p>
        </w:tc>
      </w:tr>
      <w:tr w:rsidR="00B810CB" w:rsidRPr="00AD5078" w14:paraId="5DC2EE2E" w14:textId="77777777" w:rsidTr="008916B7">
        <w:trPr>
          <w:trHeight w:val="3143"/>
          <w:jc w:val="center"/>
        </w:trPr>
        <w:tc>
          <w:tcPr>
            <w:tcW w:w="1016" w:type="dxa"/>
          </w:tcPr>
          <w:p w14:paraId="4A4B9DE5" w14:textId="77777777" w:rsidR="00B810CB" w:rsidRPr="00AD5078" w:rsidRDefault="00B810CB" w:rsidP="004C741C">
            <w:pPr>
              <w:jc w:val="both"/>
              <w:rPr>
                <w:rFonts w:ascii="Aptos" w:eastAsia="Times New Roman" w:hAnsi="Aptos" w:cs="Times New Roman"/>
                <w:b/>
                <w:bCs/>
                <w:sz w:val="24"/>
                <w:szCs w:val="24"/>
                <w:lang w:val="es-ES_tradnl"/>
              </w:rPr>
            </w:pPr>
            <w:r w:rsidRPr="00AD5078">
              <w:rPr>
                <w:rFonts w:ascii="Aptos" w:eastAsia="Times New Roman" w:hAnsi="Aptos" w:cs="Times New Roman"/>
                <w:b/>
                <w:bCs/>
                <w:sz w:val="24"/>
                <w:szCs w:val="24"/>
                <w:lang w:val="es-ES_tradnl"/>
              </w:rPr>
              <w:t>25</w:t>
            </w:r>
          </w:p>
        </w:tc>
        <w:tc>
          <w:tcPr>
            <w:tcW w:w="7484" w:type="dxa"/>
          </w:tcPr>
          <w:p w14:paraId="51F53EEF" w14:textId="77777777" w:rsidR="00B810CB" w:rsidRPr="00AD5078" w:rsidRDefault="00B810CB" w:rsidP="004C741C">
            <w:pPr>
              <w:jc w:val="both"/>
              <w:rPr>
                <w:rFonts w:ascii="Aptos" w:eastAsia="Times New Roman" w:hAnsi="Aptos" w:cs="Times New Roman"/>
                <w:sz w:val="24"/>
                <w:szCs w:val="24"/>
                <w:lang w:val="es-ES_tradnl"/>
              </w:rPr>
            </w:pPr>
            <w:r w:rsidRPr="00AD5078">
              <w:rPr>
                <w:rFonts w:ascii="Aptos" w:eastAsia="Times New Roman" w:hAnsi="Aptos" w:cs="Times New Roman"/>
                <w:sz w:val="24"/>
                <w:szCs w:val="24"/>
                <w:lang w:val="es-ES_tradnl"/>
              </w:rPr>
              <w:t>Autorícese al Gobierno Nacional para que incorpore dentro del Presupuesto General de la Nación las partidas presupuestales necesarias para que se lleve a cabo el cumplimiento de las disposiciones establecidas en la presente ley. De conformidad con la normativa vigente, las erogaciones que se causen con ocasión de la implementación y ejecución de la presente ley deberán consultar la situación fiscal de la Nación, la disponibilidad de recursos y ajustarse al Marco de Gasto de Mediano Plazo y las normas orgánicas de presupuesto</w:t>
            </w:r>
          </w:p>
        </w:tc>
        <w:tc>
          <w:tcPr>
            <w:tcW w:w="3402" w:type="dxa"/>
          </w:tcPr>
          <w:p w14:paraId="487C25CC" w14:textId="77777777" w:rsidR="00B810CB" w:rsidRPr="00AD5078" w:rsidRDefault="00B810CB" w:rsidP="004C741C">
            <w:pPr>
              <w:jc w:val="both"/>
              <w:rPr>
                <w:rFonts w:ascii="Aptos" w:eastAsia="Times New Roman" w:hAnsi="Aptos" w:cs="Times New Roman"/>
                <w:sz w:val="24"/>
                <w:szCs w:val="24"/>
                <w:lang w:val="es-ES_tradnl"/>
              </w:rPr>
            </w:pPr>
            <w:r w:rsidRPr="00AD5078">
              <w:rPr>
                <w:rFonts w:ascii="Aptos" w:eastAsia="Times New Roman" w:hAnsi="Aptos" w:cs="Times New Roman"/>
                <w:sz w:val="24"/>
                <w:szCs w:val="24"/>
                <w:lang w:val="es-ES_tradnl"/>
              </w:rPr>
              <w:t>Sin modificaciones</w:t>
            </w:r>
          </w:p>
        </w:tc>
      </w:tr>
      <w:tr w:rsidR="00B810CB" w:rsidRPr="00AD5078" w14:paraId="3114D232" w14:textId="77777777" w:rsidTr="008916B7">
        <w:trPr>
          <w:trHeight w:val="2647"/>
          <w:jc w:val="center"/>
        </w:trPr>
        <w:tc>
          <w:tcPr>
            <w:tcW w:w="1016" w:type="dxa"/>
          </w:tcPr>
          <w:p w14:paraId="1A384A35" w14:textId="77777777" w:rsidR="00B810CB" w:rsidRPr="00AD5078" w:rsidRDefault="00B810CB" w:rsidP="004C741C">
            <w:pPr>
              <w:jc w:val="both"/>
              <w:rPr>
                <w:rFonts w:ascii="Aptos" w:eastAsia="Times New Roman" w:hAnsi="Aptos" w:cs="Times New Roman"/>
                <w:b/>
                <w:bCs/>
                <w:sz w:val="24"/>
                <w:szCs w:val="24"/>
                <w:lang w:val="es-ES_tradnl"/>
              </w:rPr>
            </w:pPr>
            <w:r w:rsidRPr="00AD5078">
              <w:rPr>
                <w:rFonts w:ascii="Aptos" w:eastAsia="Times New Roman" w:hAnsi="Aptos" w:cs="Times New Roman"/>
                <w:b/>
                <w:bCs/>
                <w:sz w:val="24"/>
                <w:szCs w:val="24"/>
                <w:lang w:val="es-ES_tradnl"/>
              </w:rPr>
              <w:t>26</w:t>
            </w:r>
          </w:p>
        </w:tc>
        <w:tc>
          <w:tcPr>
            <w:tcW w:w="7484" w:type="dxa"/>
          </w:tcPr>
          <w:p w14:paraId="7C839184" w14:textId="77777777" w:rsidR="00B810CB" w:rsidRPr="00AD5078" w:rsidRDefault="00B810CB" w:rsidP="004C741C">
            <w:pPr>
              <w:jc w:val="both"/>
              <w:rPr>
                <w:rFonts w:ascii="Aptos" w:eastAsia="Times New Roman" w:hAnsi="Aptos" w:cs="Times New Roman"/>
                <w:sz w:val="24"/>
                <w:szCs w:val="24"/>
                <w:lang w:val="es-ES_tradnl"/>
              </w:rPr>
            </w:pPr>
            <w:r w:rsidRPr="00AD5078">
              <w:rPr>
                <w:rFonts w:ascii="Aptos" w:eastAsia="Times New Roman" w:hAnsi="Aptos" w:cs="Times New Roman"/>
                <w:b/>
                <w:bCs/>
                <w:sz w:val="24"/>
                <w:szCs w:val="24"/>
                <w:lang w:val="es-ES_tradnl"/>
              </w:rPr>
              <w:t xml:space="preserve">Vigencia. </w:t>
            </w:r>
            <w:r w:rsidRPr="00AD5078">
              <w:rPr>
                <w:rFonts w:ascii="Aptos" w:eastAsia="Times New Roman" w:hAnsi="Aptos" w:cs="Times New Roman"/>
                <w:sz w:val="24"/>
                <w:szCs w:val="24"/>
                <w:lang w:val="es-ES_tradnl"/>
              </w:rPr>
              <w:t>La presente ley rige a partir de su promulgación y deroga todas las disposiciones que le sean contrarias.</w:t>
            </w:r>
          </w:p>
        </w:tc>
        <w:tc>
          <w:tcPr>
            <w:tcW w:w="3402" w:type="dxa"/>
          </w:tcPr>
          <w:p w14:paraId="5E7272FB" w14:textId="77777777" w:rsidR="00B810CB" w:rsidRPr="00AD5078" w:rsidRDefault="00B810CB" w:rsidP="004C741C">
            <w:pPr>
              <w:jc w:val="both"/>
              <w:rPr>
                <w:rFonts w:ascii="Aptos" w:eastAsia="Times New Roman" w:hAnsi="Aptos" w:cs="Times New Roman"/>
                <w:sz w:val="24"/>
                <w:szCs w:val="24"/>
                <w:lang w:val="es-ES_tradnl"/>
              </w:rPr>
            </w:pPr>
            <w:r w:rsidRPr="00AD5078">
              <w:rPr>
                <w:rFonts w:ascii="Aptos" w:eastAsia="Times New Roman" w:hAnsi="Aptos" w:cs="Times New Roman"/>
                <w:sz w:val="24"/>
                <w:szCs w:val="24"/>
                <w:lang w:val="es-ES_tradnl"/>
              </w:rPr>
              <w:t>Sin modificaciones</w:t>
            </w:r>
          </w:p>
          <w:p w14:paraId="67B1F51A" w14:textId="77777777" w:rsidR="00B810CB" w:rsidRPr="00AD5078" w:rsidRDefault="00B810CB" w:rsidP="004C741C">
            <w:pPr>
              <w:jc w:val="both"/>
              <w:rPr>
                <w:rFonts w:ascii="Aptos" w:eastAsia="Times New Roman" w:hAnsi="Aptos" w:cs="Times New Roman"/>
                <w:sz w:val="24"/>
                <w:szCs w:val="24"/>
                <w:lang w:val="es-ES_tradnl"/>
              </w:rPr>
            </w:pPr>
          </w:p>
        </w:tc>
      </w:tr>
    </w:tbl>
    <w:p w14:paraId="539F95C7" w14:textId="77777777" w:rsidR="00AD5078" w:rsidRDefault="00AD5078" w:rsidP="00B810CB">
      <w:pPr>
        <w:ind w:right="49"/>
        <w:jc w:val="both"/>
        <w:rPr>
          <w:rFonts w:ascii="Aptos" w:hAnsi="Aptos"/>
          <w:b/>
          <w:bCs/>
          <w:sz w:val="24"/>
          <w:szCs w:val="24"/>
          <w:lang w:val="es-ES_tradnl"/>
        </w:rPr>
      </w:pPr>
    </w:p>
    <w:p w14:paraId="5422C647" w14:textId="77777777" w:rsidR="00AD5078" w:rsidRPr="00AD5078" w:rsidRDefault="00AD5078" w:rsidP="00AD5078">
      <w:pPr>
        <w:pStyle w:val="Prrafodelista"/>
        <w:numPr>
          <w:ilvl w:val="0"/>
          <w:numId w:val="3"/>
        </w:numPr>
        <w:rPr>
          <w:rFonts w:ascii="Aptos" w:hAnsi="Aptos"/>
          <w:b/>
          <w:bCs/>
          <w:color w:val="000000" w:themeColor="text1"/>
          <w:sz w:val="24"/>
          <w:szCs w:val="24"/>
        </w:rPr>
      </w:pPr>
      <w:r w:rsidRPr="00AD5078">
        <w:rPr>
          <w:rFonts w:ascii="Aptos" w:hAnsi="Aptos"/>
          <w:b/>
          <w:bCs/>
          <w:color w:val="000000" w:themeColor="text1"/>
          <w:sz w:val="24"/>
          <w:szCs w:val="24"/>
          <w:lang w:val="es-CO"/>
        </w:rPr>
        <w:lastRenderedPageBreak/>
        <w:t>CONCLUSIONES</w:t>
      </w:r>
    </w:p>
    <w:p w14:paraId="52059144" w14:textId="4C5AD824" w:rsidR="00AD5078" w:rsidRDefault="00AD5078" w:rsidP="00AD5078">
      <w:pPr>
        <w:ind w:left="360"/>
        <w:jc w:val="both"/>
        <w:rPr>
          <w:rFonts w:ascii="Aptos" w:hAnsi="Aptos"/>
          <w:color w:val="000000" w:themeColor="text1"/>
          <w:sz w:val="24"/>
          <w:szCs w:val="24"/>
        </w:rPr>
      </w:pPr>
      <w:r w:rsidRPr="00AD5078">
        <w:rPr>
          <w:rFonts w:ascii="Aptos" w:hAnsi="Aptos"/>
          <w:color w:val="000000" w:themeColor="text1"/>
          <w:sz w:val="24"/>
          <w:szCs w:val="24"/>
        </w:rPr>
        <w:t>Finalmente, el Ministerio considera que las observaciones aquí formuladas contribuyen a garantizar la consistencia técnica, jurídica y sectorial del proyecto, promoviendo un marco regulatorio claro, competitivo y alineado con los objetivos nacionales de descarbonización, seguridad energética y desarrollo industrial. Este concepto se emite con el ánimo de orientar la discusión legislativa y favorecer la toma de decisiones informadas en beneficio del país.</w:t>
      </w:r>
    </w:p>
    <w:p w14:paraId="1836775A" w14:textId="77777777" w:rsidR="00B91937" w:rsidRDefault="00B91937" w:rsidP="00AD5078">
      <w:pPr>
        <w:ind w:left="360"/>
        <w:jc w:val="both"/>
        <w:rPr>
          <w:rFonts w:ascii="Aptos" w:hAnsi="Aptos"/>
          <w:color w:val="000000" w:themeColor="text1"/>
          <w:sz w:val="24"/>
          <w:szCs w:val="24"/>
        </w:rPr>
      </w:pPr>
    </w:p>
    <w:p w14:paraId="5B23E853" w14:textId="77777777" w:rsidR="00B91937" w:rsidRPr="00AD5078" w:rsidRDefault="00B91937" w:rsidP="00AD5078">
      <w:pPr>
        <w:ind w:left="360"/>
        <w:jc w:val="both"/>
        <w:rPr>
          <w:rFonts w:ascii="Aptos" w:hAnsi="Aptos"/>
          <w:color w:val="000000" w:themeColor="text1"/>
          <w:sz w:val="24"/>
          <w:szCs w:val="24"/>
        </w:rPr>
      </w:pPr>
    </w:p>
    <w:p w14:paraId="7669C05C" w14:textId="77777777" w:rsidR="00AD5078" w:rsidRPr="00AD5078" w:rsidRDefault="00AD5078" w:rsidP="00B810CB">
      <w:pPr>
        <w:ind w:right="49"/>
        <w:jc w:val="both"/>
        <w:rPr>
          <w:rFonts w:ascii="Aptos" w:hAnsi="Aptos"/>
          <w:b/>
          <w:bCs/>
          <w:sz w:val="24"/>
          <w:szCs w:val="24"/>
        </w:rPr>
      </w:pPr>
    </w:p>
    <w:sectPr w:rsidR="00AD5078" w:rsidRPr="00AD5078">
      <w:headerReference w:type="default" r:id="rId7"/>
      <w:footerReference w:type="default" r:id="rId8"/>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22704B" w14:textId="77777777" w:rsidR="00513DCC" w:rsidRDefault="00513DCC">
      <w:pPr>
        <w:spacing w:after="0" w:line="240" w:lineRule="auto"/>
      </w:pPr>
      <w:r>
        <w:separator/>
      </w:r>
    </w:p>
  </w:endnote>
  <w:endnote w:type="continuationSeparator" w:id="0">
    <w:p w14:paraId="4B3685B0" w14:textId="77777777" w:rsidR="00513DCC" w:rsidRDefault="00513D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ans">
    <w:altName w:val="Arial"/>
    <w:panose1 w:val="020B0604020202020204"/>
    <w:charset w:val="01"/>
    <w:family w:val="swiss"/>
    <w:pitch w:val="variable"/>
    <w:sig w:usb0="E0000AFF" w:usb1="500078FF" w:usb2="00000021" w:usb3="00000000" w:csb0="000001BF" w:csb1="00000000"/>
  </w:font>
  <w:font w:name="Bitstream Vera Sans">
    <w:panose1 w:val="020B0604020202020204"/>
    <w:charset w:val="00"/>
    <w:family w:val="roman"/>
    <w:notTrueType/>
    <w:pitch w:val="default"/>
  </w:font>
  <w:font w:name="FreeSans">
    <w:altName w:val="Cambria"/>
    <w:panose1 w:val="020B0604020202020204"/>
    <w:charset w:val="00"/>
    <w:family w:val="roman"/>
    <w:notTrueType/>
    <w:pitch w:val="default"/>
  </w:font>
  <w:font w:name="Work Sans">
    <w:panose1 w:val="020B0604020202020204"/>
    <w:charset w:val="4D"/>
    <w:family w:val="auto"/>
    <w:pitch w:val="variable"/>
    <w:sig w:usb0="A00000FF" w:usb1="5000E07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825EFB" w14:textId="749C1687" w:rsidR="00DE1913" w:rsidRDefault="002478C2">
    <w:pPr>
      <w:pStyle w:val="Piedepgina"/>
    </w:pPr>
    <w:r>
      <w:rPr>
        <w:noProof/>
      </w:rPr>
      <w:drawing>
        <wp:anchor distT="0" distB="0" distL="114300" distR="114300" simplePos="0" relativeHeight="251663360"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46DF13" w14:textId="77777777" w:rsidR="00513DCC" w:rsidRDefault="00513DCC">
      <w:pPr>
        <w:spacing w:after="0" w:line="240" w:lineRule="auto"/>
      </w:pPr>
      <w:r>
        <w:separator/>
      </w:r>
    </w:p>
  </w:footnote>
  <w:footnote w:type="continuationSeparator" w:id="0">
    <w:p w14:paraId="248D7DC9" w14:textId="77777777" w:rsidR="00513DCC" w:rsidRDefault="00513D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60614062"/>
      <w:docPartObj>
        <w:docPartGallery w:val="Page Numbers (Top of Page)"/>
        <w:docPartUnique/>
      </w:docPartObj>
    </w:sdtPr>
    <w:sdtContent>
      <w:p w14:paraId="0251DE41" w14:textId="7BD393A3" w:rsidR="00FD392C" w:rsidRDefault="00FD392C" w:rsidP="005225C6">
        <w:pPr>
          <w:pStyle w:val="Encabezado"/>
          <w:jc w:val="right"/>
        </w:pPr>
        <w:r w:rsidRPr="005617AA">
          <w:rPr>
            <w:noProof/>
          </w:rPr>
          <w:drawing>
            <wp:anchor distT="0" distB="0" distL="114300" distR="114300" simplePos="0" relativeHeight="251662336"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0360A91C" w14:textId="357E0F64" w:rsidR="00DE1913" w:rsidRDefault="003B2B73" w:rsidP="00B810CB">
        <w:pPr>
          <w:pStyle w:val="Encabezado"/>
          <w:jc w:val="right"/>
          <w:rPr>
            <w:rFonts w:ascii="Arial" w:eastAsia="Times New Roman" w:hAnsi="Arial" w:cs="Arial"/>
            <w:sz w:val="16"/>
            <w:lang w:val="es-ES"/>
          </w:rPr>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CA5719"/>
    <w:multiLevelType w:val="hybridMultilevel"/>
    <w:tmpl w:val="1FE4DB3A"/>
    <w:lvl w:ilvl="0" w:tplc="FFFFFFFF">
      <w:start w:val="27"/>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12CA0ABA"/>
    <w:multiLevelType w:val="hybridMultilevel"/>
    <w:tmpl w:val="1D1062C2"/>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17E30C83"/>
    <w:multiLevelType w:val="hybridMultilevel"/>
    <w:tmpl w:val="F790DC18"/>
    <w:lvl w:ilvl="0" w:tplc="D5940682">
      <w:start w:val="2"/>
      <w:numFmt w:val="bullet"/>
      <w:lvlText w:val="-"/>
      <w:lvlJc w:val="left"/>
      <w:pPr>
        <w:ind w:left="720" w:hanging="360"/>
      </w:pPr>
      <w:rPr>
        <w:rFonts w:ascii="Aptos" w:eastAsiaTheme="minorHAnsi" w:hAnsi="Aptos"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235B2094"/>
    <w:multiLevelType w:val="hybridMultilevel"/>
    <w:tmpl w:val="FE640F9C"/>
    <w:lvl w:ilvl="0" w:tplc="B340162C">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7FE3DC8"/>
    <w:multiLevelType w:val="hybridMultilevel"/>
    <w:tmpl w:val="54C6B3AA"/>
    <w:lvl w:ilvl="0" w:tplc="E79E36A8">
      <w:start w:val="2"/>
      <w:numFmt w:val="bullet"/>
      <w:lvlText w:val="-"/>
      <w:lvlJc w:val="left"/>
      <w:pPr>
        <w:ind w:left="720" w:hanging="360"/>
      </w:pPr>
      <w:rPr>
        <w:rFonts w:ascii="Aptos" w:eastAsiaTheme="minorHAnsi" w:hAnsi="Aptos"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51F859D0"/>
    <w:multiLevelType w:val="hybridMultilevel"/>
    <w:tmpl w:val="080AE528"/>
    <w:lvl w:ilvl="0" w:tplc="0E2C2718">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740E02E8"/>
    <w:multiLevelType w:val="hybridMultilevel"/>
    <w:tmpl w:val="18AAA7BE"/>
    <w:lvl w:ilvl="0" w:tplc="7B1C5A86">
      <w:start w:val="2"/>
      <w:numFmt w:val="bullet"/>
      <w:lvlText w:val="-"/>
      <w:lvlJc w:val="left"/>
      <w:pPr>
        <w:ind w:left="720" w:hanging="360"/>
      </w:pPr>
      <w:rPr>
        <w:rFonts w:ascii="Aptos" w:eastAsiaTheme="minorHAnsi" w:hAnsi="Aptos"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1732117956">
    <w:abstractNumId w:val="0"/>
  </w:num>
  <w:num w:numId="2" w16cid:durableId="1652059166">
    <w:abstractNumId w:val="5"/>
  </w:num>
  <w:num w:numId="3" w16cid:durableId="485324569">
    <w:abstractNumId w:val="3"/>
  </w:num>
  <w:num w:numId="4" w16cid:durableId="120658892">
    <w:abstractNumId w:val="1"/>
  </w:num>
  <w:num w:numId="5" w16cid:durableId="1828980511">
    <w:abstractNumId w:val="2"/>
  </w:num>
  <w:num w:numId="6" w16cid:durableId="1986396648">
    <w:abstractNumId w:val="6"/>
  </w:num>
  <w:num w:numId="7" w16cid:durableId="52101847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8"/>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12CF1"/>
    <w:rsid w:val="00027169"/>
    <w:rsid w:val="000418C8"/>
    <w:rsid w:val="000D42F6"/>
    <w:rsid w:val="000E5912"/>
    <w:rsid w:val="001266B1"/>
    <w:rsid w:val="001818F1"/>
    <w:rsid w:val="00201B2E"/>
    <w:rsid w:val="00222C9D"/>
    <w:rsid w:val="002478C2"/>
    <w:rsid w:val="00262ACE"/>
    <w:rsid w:val="002976A7"/>
    <w:rsid w:val="002C4A3D"/>
    <w:rsid w:val="003121A9"/>
    <w:rsid w:val="003375F7"/>
    <w:rsid w:val="003B2B73"/>
    <w:rsid w:val="00422787"/>
    <w:rsid w:val="00441FEE"/>
    <w:rsid w:val="00484A5A"/>
    <w:rsid w:val="00496E70"/>
    <w:rsid w:val="004E5148"/>
    <w:rsid w:val="00513DCC"/>
    <w:rsid w:val="005225C6"/>
    <w:rsid w:val="005617AA"/>
    <w:rsid w:val="00561887"/>
    <w:rsid w:val="005646C4"/>
    <w:rsid w:val="005A2830"/>
    <w:rsid w:val="00640E5A"/>
    <w:rsid w:val="007A5A72"/>
    <w:rsid w:val="007B1363"/>
    <w:rsid w:val="00830730"/>
    <w:rsid w:val="00837896"/>
    <w:rsid w:val="008916B7"/>
    <w:rsid w:val="00892C0E"/>
    <w:rsid w:val="008C1E19"/>
    <w:rsid w:val="008E4ABF"/>
    <w:rsid w:val="009359F1"/>
    <w:rsid w:val="009709F2"/>
    <w:rsid w:val="00981241"/>
    <w:rsid w:val="009E5228"/>
    <w:rsid w:val="00A3590E"/>
    <w:rsid w:val="00A6516B"/>
    <w:rsid w:val="00A86526"/>
    <w:rsid w:val="00AA5E4C"/>
    <w:rsid w:val="00AB11CE"/>
    <w:rsid w:val="00AD43C1"/>
    <w:rsid w:val="00AD5078"/>
    <w:rsid w:val="00B4250F"/>
    <w:rsid w:val="00B51607"/>
    <w:rsid w:val="00B55D79"/>
    <w:rsid w:val="00B6125B"/>
    <w:rsid w:val="00B810CB"/>
    <w:rsid w:val="00B91937"/>
    <w:rsid w:val="00C0455B"/>
    <w:rsid w:val="00D4616C"/>
    <w:rsid w:val="00D70DE9"/>
    <w:rsid w:val="00DC7B37"/>
    <w:rsid w:val="00DE1913"/>
    <w:rsid w:val="00E113E2"/>
    <w:rsid w:val="00E37AC0"/>
    <w:rsid w:val="00E823F2"/>
    <w:rsid w:val="00EB3862"/>
    <w:rsid w:val="00F80A1F"/>
    <w:rsid w:val="00F94C11"/>
    <w:rsid w:val="00FA439A"/>
    <w:rsid w:val="00FD392C"/>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83ACB"/>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styleId="Prrafodelista">
    <w:name w:val="List Paragraph"/>
    <w:basedOn w:val="Normal"/>
    <w:uiPriority w:val="34"/>
    <w:qFormat/>
    <w:rsid w:val="00B810CB"/>
    <w:pPr>
      <w:suppressAutoHyphens w:val="0"/>
      <w:ind w:left="720"/>
      <w:contextualSpacing/>
    </w:pPr>
    <w:rPr>
      <w:rFonts w:eastAsiaTheme="minorEastAsia"/>
      <w:lang w:val="en-US"/>
    </w:rPr>
  </w:style>
  <w:style w:type="table" w:styleId="Tablaconcuadrcula">
    <w:name w:val="Table Grid"/>
    <w:basedOn w:val="Tablanormal"/>
    <w:uiPriority w:val="59"/>
    <w:rsid w:val="00B810CB"/>
    <w:pPr>
      <w:suppressAutoHyphens w:val="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29</Pages>
  <Words>9305</Words>
  <Characters>51179</Characters>
  <Application>Microsoft Office Word</Application>
  <DocSecurity>0</DocSecurity>
  <Lines>426</Lines>
  <Paragraphs>120</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HP</Company>
  <LinksUpToDate>false</LinksUpToDate>
  <CharactersWithSpaces>60364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Microsoft Office User</cp:lastModifiedBy>
  <cp:revision>8</cp:revision>
  <dcterms:created xsi:type="dcterms:W3CDTF">2025-12-09T17:10:00Z</dcterms:created>
  <dcterms:modified xsi:type="dcterms:W3CDTF">2026-03-24T21:33:00Z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